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E9" w:rsidRDefault="00BA7265" w:rsidP="0047249C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Annexe 4</w:t>
      </w:r>
      <w:bookmarkStart w:id="0" w:name="_GoBack"/>
      <w:bookmarkEnd w:id="0"/>
      <w:r w:rsidR="000940E9">
        <w:rPr>
          <w:rFonts w:cstheme="minorHAnsi"/>
          <w:b/>
          <w:sz w:val="32"/>
        </w:rPr>
        <w:t> : Critères d’éligibilités et aides EDF</w:t>
      </w:r>
    </w:p>
    <w:p w:rsidR="00A25B49" w:rsidRPr="0047249C" w:rsidRDefault="00A25B49" w:rsidP="0047249C">
      <w:pPr>
        <w:rPr>
          <w:rFonts w:cstheme="minorHAnsi"/>
          <w:sz w:val="32"/>
        </w:rPr>
      </w:pPr>
      <w:r w:rsidRPr="0047249C">
        <w:rPr>
          <w:rFonts w:cstheme="minorHAnsi"/>
          <w:b/>
          <w:sz w:val="32"/>
        </w:rPr>
        <w:t>Rénovation de l’</w:t>
      </w:r>
      <w:r w:rsidR="00EB23CD" w:rsidRPr="0047249C">
        <w:rPr>
          <w:rFonts w:cstheme="minorHAnsi"/>
          <w:b/>
          <w:sz w:val="32"/>
        </w:rPr>
        <w:t>Eclairage P</w:t>
      </w:r>
      <w:r w:rsidRPr="0047249C">
        <w:rPr>
          <w:rFonts w:cstheme="minorHAnsi"/>
          <w:b/>
          <w:sz w:val="32"/>
        </w:rPr>
        <w:t>ublic</w:t>
      </w:r>
      <w:r w:rsidR="00EB23CD" w:rsidRPr="0047249C">
        <w:rPr>
          <w:rFonts w:cstheme="minorHAnsi"/>
          <w:b/>
          <w:sz w:val="32"/>
        </w:rPr>
        <w:t xml:space="preserve"> LED</w:t>
      </w:r>
      <w:r w:rsidRPr="0047249C">
        <w:rPr>
          <w:rFonts w:cstheme="minorHAnsi"/>
          <w:b/>
          <w:sz w:val="32"/>
        </w:rPr>
        <w:t xml:space="preserve"> – Critères d’éligibilité aux aides EDF</w:t>
      </w:r>
    </w:p>
    <w:p w:rsidR="0039710C" w:rsidRPr="0047249C" w:rsidRDefault="0039710C" w:rsidP="0047249C">
      <w:pPr>
        <w:jc w:val="both"/>
        <w:rPr>
          <w:rFonts w:ascii="Arial" w:hAnsi="Arial" w:cs="Arial"/>
          <w:sz w:val="20"/>
          <w:szCs w:val="20"/>
        </w:rPr>
      </w:pPr>
      <w:r w:rsidRPr="0047249C">
        <w:rPr>
          <w:rFonts w:ascii="Arial" w:hAnsi="Arial" w:cs="Arial"/>
          <w:bCs/>
          <w:sz w:val="20"/>
          <w:szCs w:val="20"/>
        </w:rPr>
        <w:t>Ce document résume les critères d’éligibilité aux aides EDF pour les projets de rénovation de l’éclairage public.</w:t>
      </w:r>
      <w:r w:rsidR="00B463B4" w:rsidRPr="0047249C">
        <w:rPr>
          <w:rFonts w:ascii="Arial" w:hAnsi="Arial" w:cs="Arial"/>
          <w:bCs/>
          <w:sz w:val="20"/>
          <w:szCs w:val="20"/>
        </w:rPr>
        <w:t xml:space="preserve"> Ce document est diffusé à titre d’information</w:t>
      </w:r>
      <w:r w:rsidR="00742F50">
        <w:rPr>
          <w:rFonts w:ascii="Arial" w:hAnsi="Arial" w:cs="Arial"/>
          <w:bCs/>
          <w:sz w:val="20"/>
          <w:szCs w:val="20"/>
        </w:rPr>
        <w:t> </w:t>
      </w:r>
      <w:r w:rsidR="00742F50" w:rsidRPr="0047249C">
        <w:rPr>
          <w:rFonts w:ascii="Arial" w:hAnsi="Arial" w:cs="Arial"/>
          <w:bCs/>
          <w:sz w:val="20"/>
          <w:szCs w:val="20"/>
        </w:rPr>
        <w:t>;</w:t>
      </w:r>
      <w:r w:rsidR="00B463B4" w:rsidRPr="0047249C">
        <w:rPr>
          <w:rFonts w:ascii="Arial" w:hAnsi="Arial" w:cs="Arial"/>
          <w:bCs/>
          <w:sz w:val="20"/>
          <w:szCs w:val="20"/>
        </w:rPr>
        <w:t xml:space="preserve"> </w:t>
      </w:r>
      <w:r w:rsidRPr="0047249C">
        <w:rPr>
          <w:rFonts w:ascii="Arial" w:hAnsi="Arial" w:cs="Arial"/>
          <w:bCs/>
          <w:sz w:val="20"/>
          <w:szCs w:val="20"/>
        </w:rPr>
        <w:t xml:space="preserve">EDF se réserve la possibilité de faire évoluer </w:t>
      </w:r>
      <w:r w:rsidR="00B463B4" w:rsidRPr="0047249C">
        <w:rPr>
          <w:rFonts w:ascii="Arial" w:hAnsi="Arial" w:cs="Arial"/>
          <w:bCs/>
          <w:sz w:val="20"/>
          <w:szCs w:val="20"/>
        </w:rPr>
        <w:t xml:space="preserve">les critères d’éligibilité </w:t>
      </w:r>
      <w:r w:rsidRPr="0047249C">
        <w:rPr>
          <w:rFonts w:ascii="Arial" w:hAnsi="Arial" w:cs="Arial"/>
          <w:bCs/>
          <w:sz w:val="20"/>
          <w:szCs w:val="20"/>
        </w:rPr>
        <w:t>en cohérence avec les évolutions techniques, de</w:t>
      </w:r>
      <w:r w:rsidR="00B463B4" w:rsidRPr="0047249C">
        <w:rPr>
          <w:rFonts w:ascii="Arial" w:hAnsi="Arial" w:cs="Arial"/>
          <w:bCs/>
          <w:sz w:val="20"/>
          <w:szCs w:val="20"/>
        </w:rPr>
        <w:t>s N</w:t>
      </w:r>
      <w:r w:rsidRPr="0047249C">
        <w:rPr>
          <w:rFonts w:ascii="Arial" w:hAnsi="Arial" w:cs="Arial"/>
          <w:bCs/>
          <w:sz w:val="20"/>
          <w:szCs w:val="20"/>
        </w:rPr>
        <w:t xml:space="preserve">ormes et de l’état de l’art. </w:t>
      </w:r>
      <w:r w:rsidR="00B463B4" w:rsidRPr="0047249C">
        <w:rPr>
          <w:rFonts w:ascii="Arial" w:hAnsi="Arial" w:cs="Arial"/>
          <w:bCs/>
          <w:sz w:val="20"/>
          <w:szCs w:val="20"/>
        </w:rPr>
        <w:t>Les critères d’éligibilité sont annexés aux Accords pour opération des Conventions de partenariat en faveur de l’efficacité énergétique entre EDF et le client.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5420065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fr-FR"/>
        </w:rPr>
      </w:sdtEndPr>
      <w:sdtContent>
        <w:p w:rsidR="00B463B4" w:rsidRPr="0047249C" w:rsidRDefault="00B463B4">
          <w:pPr>
            <w:pStyle w:val="En-ttedetabledesmatires"/>
            <w:rPr>
              <w:rFonts w:ascii="Arial" w:hAnsi="Arial" w:cs="Arial"/>
              <w:sz w:val="24"/>
            </w:rPr>
          </w:pPr>
          <w:r w:rsidRPr="0047249C">
            <w:rPr>
              <w:rFonts w:ascii="Arial" w:hAnsi="Arial" w:cs="Arial"/>
              <w:sz w:val="24"/>
            </w:rPr>
            <w:t>Table des matières</w:t>
          </w:r>
        </w:p>
        <w:p w:rsidR="00742F50" w:rsidRDefault="00A814C5">
          <w:pPr>
            <w:pStyle w:val="TM1"/>
            <w:rPr>
              <w:noProof/>
            </w:rPr>
          </w:pPr>
          <w:r w:rsidRPr="0047249C">
            <w:rPr>
              <w:rFonts w:ascii="Arial" w:hAnsi="Arial" w:cs="Arial"/>
              <w:sz w:val="20"/>
            </w:rPr>
            <w:fldChar w:fldCharType="begin"/>
          </w:r>
          <w:r w:rsidR="00B463B4" w:rsidRPr="0047249C">
            <w:rPr>
              <w:rFonts w:ascii="Arial" w:hAnsi="Arial" w:cs="Arial"/>
              <w:sz w:val="20"/>
            </w:rPr>
            <w:instrText xml:space="preserve"> TOC \o "1-3" \h \z \u </w:instrText>
          </w:r>
          <w:r w:rsidRPr="0047249C">
            <w:rPr>
              <w:rFonts w:ascii="Arial" w:hAnsi="Arial" w:cs="Arial"/>
              <w:sz w:val="20"/>
            </w:rPr>
            <w:fldChar w:fldCharType="separate"/>
          </w:r>
          <w:hyperlink w:anchor="_Toc505675811" w:history="1">
            <w:r w:rsidR="00742F50" w:rsidRPr="00102A40">
              <w:rPr>
                <w:rStyle w:val="Lienhypertexte"/>
                <w:noProof/>
              </w:rPr>
              <w:t>1</w:t>
            </w:r>
            <w:r w:rsidR="00742F50">
              <w:rPr>
                <w:noProof/>
              </w:rPr>
              <w:tab/>
            </w:r>
            <w:r w:rsidR="00742F50" w:rsidRPr="00102A40">
              <w:rPr>
                <w:rStyle w:val="Lienhypertexte"/>
                <w:noProof/>
              </w:rPr>
              <w:t>Contrôles et versement des aides</w:t>
            </w:r>
            <w:r w:rsidR="00742F5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2F50">
              <w:rPr>
                <w:noProof/>
                <w:webHidden/>
              </w:rPr>
              <w:instrText xml:space="preserve"> PAGEREF _Toc505675811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2F5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2F50" w:rsidRDefault="00BA7265">
          <w:pPr>
            <w:pStyle w:val="TM1"/>
            <w:rPr>
              <w:noProof/>
            </w:rPr>
          </w:pPr>
          <w:hyperlink w:anchor="_Toc505675813" w:history="1">
            <w:r w:rsidR="00742F50" w:rsidRPr="00102A40">
              <w:rPr>
                <w:rStyle w:val="Lienhypertexte"/>
                <w:noProof/>
              </w:rPr>
              <w:t>2</w:t>
            </w:r>
            <w:r w:rsidR="00742F50">
              <w:rPr>
                <w:noProof/>
              </w:rPr>
              <w:tab/>
            </w:r>
            <w:r w:rsidR="00742F50" w:rsidRPr="00102A40">
              <w:rPr>
                <w:rStyle w:val="Lienhypertexte"/>
                <w:noProof/>
              </w:rPr>
              <w:t>Diagnostic - Etude technique de l'installation à rénover</w:t>
            </w:r>
            <w:r w:rsidR="00742F50">
              <w:rPr>
                <w:noProof/>
                <w:webHidden/>
              </w:rPr>
              <w:tab/>
            </w:r>
            <w:r w:rsidR="00A814C5">
              <w:rPr>
                <w:noProof/>
                <w:webHidden/>
              </w:rPr>
              <w:fldChar w:fldCharType="begin"/>
            </w:r>
            <w:r w:rsidR="00742F50">
              <w:rPr>
                <w:noProof/>
                <w:webHidden/>
              </w:rPr>
              <w:instrText xml:space="preserve"> PAGEREF _Toc505675813 \h </w:instrText>
            </w:r>
            <w:r w:rsidR="00A814C5">
              <w:rPr>
                <w:noProof/>
                <w:webHidden/>
              </w:rPr>
            </w:r>
            <w:r w:rsidR="00A814C5">
              <w:rPr>
                <w:noProof/>
                <w:webHidden/>
              </w:rPr>
              <w:fldChar w:fldCharType="separate"/>
            </w:r>
            <w:r w:rsidR="00742F50">
              <w:rPr>
                <w:noProof/>
                <w:webHidden/>
              </w:rPr>
              <w:t>1</w:t>
            </w:r>
            <w:r w:rsidR="00A814C5">
              <w:rPr>
                <w:noProof/>
                <w:webHidden/>
              </w:rPr>
              <w:fldChar w:fldCharType="end"/>
            </w:r>
          </w:hyperlink>
        </w:p>
        <w:p w:rsidR="00742F50" w:rsidRDefault="00BA7265">
          <w:pPr>
            <w:pStyle w:val="TM1"/>
            <w:rPr>
              <w:noProof/>
            </w:rPr>
          </w:pPr>
          <w:hyperlink w:anchor="_Toc505675815" w:history="1">
            <w:r w:rsidR="00742F50" w:rsidRPr="00102A40">
              <w:rPr>
                <w:rStyle w:val="Lienhypertexte"/>
                <w:noProof/>
              </w:rPr>
              <w:t>3</w:t>
            </w:r>
            <w:r w:rsidR="00742F50">
              <w:rPr>
                <w:noProof/>
              </w:rPr>
              <w:tab/>
            </w:r>
            <w:r w:rsidR="00742F50" w:rsidRPr="00102A40">
              <w:rPr>
                <w:rStyle w:val="Lienhypertexte"/>
                <w:noProof/>
              </w:rPr>
              <w:t>Normes à respecter pour la rénovation des luminaires et des armoires</w:t>
            </w:r>
            <w:r w:rsidR="00742F50">
              <w:rPr>
                <w:noProof/>
                <w:webHidden/>
              </w:rPr>
              <w:tab/>
            </w:r>
            <w:r w:rsidR="00A814C5">
              <w:rPr>
                <w:noProof/>
                <w:webHidden/>
              </w:rPr>
              <w:fldChar w:fldCharType="begin"/>
            </w:r>
            <w:r w:rsidR="00742F50">
              <w:rPr>
                <w:noProof/>
                <w:webHidden/>
              </w:rPr>
              <w:instrText xml:space="preserve"> PAGEREF _Toc505675815 \h </w:instrText>
            </w:r>
            <w:r w:rsidR="00A814C5">
              <w:rPr>
                <w:noProof/>
                <w:webHidden/>
              </w:rPr>
            </w:r>
            <w:r w:rsidR="00A814C5">
              <w:rPr>
                <w:noProof/>
                <w:webHidden/>
              </w:rPr>
              <w:fldChar w:fldCharType="separate"/>
            </w:r>
            <w:r w:rsidR="00742F50">
              <w:rPr>
                <w:noProof/>
                <w:webHidden/>
              </w:rPr>
              <w:t>1</w:t>
            </w:r>
            <w:r w:rsidR="00A814C5">
              <w:rPr>
                <w:noProof/>
                <w:webHidden/>
              </w:rPr>
              <w:fldChar w:fldCharType="end"/>
            </w:r>
          </w:hyperlink>
        </w:p>
        <w:p w:rsidR="00742F50" w:rsidRDefault="00BA7265">
          <w:pPr>
            <w:pStyle w:val="TM1"/>
            <w:rPr>
              <w:noProof/>
            </w:rPr>
          </w:pPr>
          <w:hyperlink w:anchor="_Toc505675816" w:history="1">
            <w:r w:rsidR="00742F50" w:rsidRPr="00102A40">
              <w:rPr>
                <w:rStyle w:val="Lienhypertexte"/>
                <w:noProof/>
              </w:rPr>
              <w:t>4</w:t>
            </w:r>
            <w:r w:rsidR="00742F50">
              <w:rPr>
                <w:noProof/>
              </w:rPr>
              <w:tab/>
            </w:r>
            <w:r w:rsidR="00742F50" w:rsidRPr="00102A40">
              <w:rPr>
                <w:rStyle w:val="Lienhypertexte"/>
                <w:noProof/>
              </w:rPr>
              <w:t>Contraintes techniques pour les nouveaux luminaires</w:t>
            </w:r>
            <w:r w:rsidR="00742F50">
              <w:rPr>
                <w:noProof/>
                <w:webHidden/>
              </w:rPr>
              <w:tab/>
            </w:r>
            <w:r w:rsidR="00A814C5">
              <w:rPr>
                <w:noProof/>
                <w:webHidden/>
              </w:rPr>
              <w:fldChar w:fldCharType="begin"/>
            </w:r>
            <w:r w:rsidR="00742F50">
              <w:rPr>
                <w:noProof/>
                <w:webHidden/>
              </w:rPr>
              <w:instrText xml:space="preserve"> PAGEREF _Toc505675816 \h </w:instrText>
            </w:r>
            <w:r w:rsidR="00A814C5">
              <w:rPr>
                <w:noProof/>
                <w:webHidden/>
              </w:rPr>
            </w:r>
            <w:r w:rsidR="00A814C5">
              <w:rPr>
                <w:noProof/>
                <w:webHidden/>
              </w:rPr>
              <w:fldChar w:fldCharType="separate"/>
            </w:r>
            <w:r w:rsidR="00742F50">
              <w:rPr>
                <w:noProof/>
                <w:webHidden/>
              </w:rPr>
              <w:t>3</w:t>
            </w:r>
            <w:r w:rsidR="00A814C5">
              <w:rPr>
                <w:noProof/>
                <w:webHidden/>
              </w:rPr>
              <w:fldChar w:fldCharType="end"/>
            </w:r>
          </w:hyperlink>
        </w:p>
        <w:p w:rsidR="00742F50" w:rsidRDefault="00BA7265">
          <w:pPr>
            <w:pStyle w:val="TM1"/>
            <w:rPr>
              <w:noProof/>
            </w:rPr>
          </w:pPr>
          <w:hyperlink w:anchor="_Toc505675817" w:history="1">
            <w:r w:rsidR="00742F50" w:rsidRPr="00102A40">
              <w:rPr>
                <w:rStyle w:val="Lienhypertexte"/>
                <w:noProof/>
              </w:rPr>
              <w:t>5</w:t>
            </w:r>
            <w:r w:rsidR="00742F50">
              <w:rPr>
                <w:noProof/>
              </w:rPr>
              <w:tab/>
            </w:r>
            <w:r w:rsidR="00742F50" w:rsidRPr="00102A40">
              <w:rPr>
                <w:rStyle w:val="Lienhypertexte"/>
                <w:noProof/>
              </w:rPr>
              <w:t>Contraintes techniques pour les armoires</w:t>
            </w:r>
            <w:r w:rsidR="00742F50">
              <w:rPr>
                <w:noProof/>
                <w:webHidden/>
              </w:rPr>
              <w:tab/>
            </w:r>
            <w:r w:rsidR="00A814C5">
              <w:rPr>
                <w:noProof/>
                <w:webHidden/>
              </w:rPr>
              <w:fldChar w:fldCharType="begin"/>
            </w:r>
            <w:r w:rsidR="00742F50">
              <w:rPr>
                <w:noProof/>
                <w:webHidden/>
              </w:rPr>
              <w:instrText xml:space="preserve"> PAGEREF _Toc505675817 \h </w:instrText>
            </w:r>
            <w:r w:rsidR="00A814C5">
              <w:rPr>
                <w:noProof/>
                <w:webHidden/>
              </w:rPr>
            </w:r>
            <w:r w:rsidR="00A814C5">
              <w:rPr>
                <w:noProof/>
                <w:webHidden/>
              </w:rPr>
              <w:fldChar w:fldCharType="separate"/>
            </w:r>
            <w:r w:rsidR="00742F50">
              <w:rPr>
                <w:noProof/>
                <w:webHidden/>
              </w:rPr>
              <w:t>5</w:t>
            </w:r>
            <w:r w:rsidR="00A814C5">
              <w:rPr>
                <w:noProof/>
                <w:webHidden/>
              </w:rPr>
              <w:fldChar w:fldCharType="end"/>
            </w:r>
          </w:hyperlink>
        </w:p>
        <w:p w:rsidR="00B463B4" w:rsidRDefault="00A814C5">
          <w:r w:rsidRPr="0047249C">
            <w:rPr>
              <w:rFonts w:ascii="Arial" w:hAnsi="Arial" w:cs="Arial"/>
              <w:b/>
              <w:bCs/>
              <w:sz w:val="20"/>
            </w:rPr>
            <w:fldChar w:fldCharType="end"/>
          </w:r>
        </w:p>
      </w:sdtContent>
    </w:sdt>
    <w:p w:rsidR="00742F50" w:rsidRPr="009C65B7" w:rsidRDefault="00742F50" w:rsidP="0047249C">
      <w:pPr>
        <w:pStyle w:val="Titre1"/>
        <w:spacing w:before="240" w:after="120"/>
        <w:ind w:left="431" w:hanging="431"/>
      </w:pPr>
      <w:bookmarkStart w:id="1" w:name="_Toc505674438"/>
      <w:bookmarkStart w:id="2" w:name="_Toc505675043"/>
      <w:bookmarkStart w:id="3" w:name="_Toc505675811"/>
      <w:bookmarkEnd w:id="1"/>
      <w:bookmarkEnd w:id="2"/>
      <w:r>
        <w:t>Contrôles et versement des aides</w:t>
      </w:r>
      <w:bookmarkEnd w:id="3"/>
    </w:p>
    <w:p w:rsidR="00742F50" w:rsidRPr="009E2224" w:rsidRDefault="00742F50">
      <w:pPr>
        <w:jc w:val="both"/>
        <w:rPr>
          <w:rFonts w:ascii="Arial" w:hAnsi="Arial" w:cs="Arial"/>
          <w:bCs/>
          <w:sz w:val="20"/>
          <w:szCs w:val="20"/>
        </w:rPr>
      </w:pPr>
      <w:r w:rsidRPr="009E2224">
        <w:rPr>
          <w:rFonts w:ascii="Arial" w:hAnsi="Arial" w:cs="Arial"/>
          <w:bCs/>
          <w:sz w:val="20"/>
          <w:szCs w:val="20"/>
        </w:rPr>
        <w:t>Les conditions de versement des aides sont spécifié</w:t>
      </w:r>
      <w:r>
        <w:rPr>
          <w:rFonts w:ascii="Arial" w:hAnsi="Arial" w:cs="Arial"/>
          <w:bCs/>
          <w:sz w:val="20"/>
          <w:szCs w:val="20"/>
        </w:rPr>
        <w:t>es</w:t>
      </w:r>
      <w:r w:rsidRPr="009E2224">
        <w:rPr>
          <w:rFonts w:ascii="Arial" w:hAnsi="Arial" w:cs="Arial"/>
          <w:bCs/>
          <w:sz w:val="20"/>
          <w:szCs w:val="20"/>
        </w:rPr>
        <w:t xml:space="preserve"> dans les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E2224">
        <w:rPr>
          <w:rFonts w:ascii="Arial" w:hAnsi="Arial" w:cs="Arial"/>
          <w:bCs/>
          <w:sz w:val="20"/>
          <w:szCs w:val="20"/>
        </w:rPr>
        <w:t>‘’Accord</w:t>
      </w:r>
      <w:r>
        <w:rPr>
          <w:rFonts w:ascii="Arial" w:hAnsi="Arial" w:cs="Arial"/>
          <w:bCs/>
          <w:sz w:val="20"/>
          <w:szCs w:val="20"/>
        </w:rPr>
        <w:t>s</w:t>
      </w:r>
      <w:r w:rsidRPr="009E2224">
        <w:rPr>
          <w:rFonts w:ascii="Arial" w:hAnsi="Arial" w:cs="Arial"/>
          <w:bCs/>
          <w:sz w:val="20"/>
          <w:szCs w:val="20"/>
        </w:rPr>
        <w:t xml:space="preserve"> pour opération’’ </w:t>
      </w:r>
      <w:r w:rsidRPr="00EA3BC9">
        <w:rPr>
          <w:rFonts w:ascii="Arial" w:hAnsi="Arial" w:cs="Arial"/>
          <w:bCs/>
          <w:sz w:val="20"/>
          <w:szCs w:val="20"/>
        </w:rPr>
        <w:t>Annexé</w:t>
      </w:r>
      <w:r w:rsidRPr="009E2224">
        <w:rPr>
          <w:rFonts w:ascii="Arial" w:hAnsi="Arial" w:cs="Arial"/>
          <w:bCs/>
          <w:sz w:val="20"/>
          <w:szCs w:val="20"/>
        </w:rPr>
        <w:t>s aux Conventions P</w:t>
      </w:r>
      <w:r>
        <w:rPr>
          <w:rFonts w:ascii="Arial" w:hAnsi="Arial" w:cs="Arial"/>
          <w:bCs/>
          <w:sz w:val="20"/>
          <w:szCs w:val="20"/>
        </w:rPr>
        <w:t>2</w:t>
      </w:r>
      <w:r w:rsidRPr="009E2224">
        <w:rPr>
          <w:rFonts w:ascii="Arial" w:hAnsi="Arial" w:cs="Arial"/>
          <w:bCs/>
          <w:sz w:val="20"/>
          <w:szCs w:val="20"/>
        </w:rPr>
        <w:t>E. EDF se réserve la possibilité de conditionner le versement des aides à des contrôles avant et après travaux :</w:t>
      </w:r>
    </w:p>
    <w:p w:rsidR="00742F50" w:rsidRPr="009E2224" w:rsidRDefault="00742F50" w:rsidP="00742F50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Cs/>
          <w:sz w:val="20"/>
          <w:szCs w:val="20"/>
        </w:rPr>
      </w:pPr>
      <w:r w:rsidRPr="009E2224">
        <w:rPr>
          <w:rFonts w:ascii="Arial" w:hAnsi="Arial" w:cs="Arial"/>
          <w:bCs/>
          <w:sz w:val="20"/>
          <w:szCs w:val="20"/>
        </w:rPr>
        <w:t>Un contrôle ex-ante (avant travaux) est réalisé sur les diagnostics, les</w:t>
      </w:r>
      <w:r w:rsidRPr="00EA3BC9">
        <w:rPr>
          <w:rFonts w:ascii="Arial" w:hAnsi="Arial" w:cs="Arial"/>
          <w:bCs/>
          <w:sz w:val="20"/>
          <w:szCs w:val="20"/>
        </w:rPr>
        <w:t xml:space="preserve"> cahiers des charges,</w:t>
      </w:r>
      <w:r w:rsidRPr="009E2224">
        <w:rPr>
          <w:rFonts w:ascii="Arial" w:hAnsi="Arial" w:cs="Arial"/>
          <w:bCs/>
          <w:sz w:val="20"/>
          <w:szCs w:val="20"/>
        </w:rPr>
        <w:t xml:space="preserve"> les fiches produits,</w:t>
      </w:r>
      <w:r>
        <w:rPr>
          <w:rFonts w:ascii="Arial" w:hAnsi="Arial" w:cs="Arial"/>
          <w:bCs/>
          <w:sz w:val="20"/>
          <w:szCs w:val="20"/>
        </w:rPr>
        <w:t xml:space="preserve"> et</w:t>
      </w:r>
      <w:r w:rsidRPr="009E2224">
        <w:rPr>
          <w:rFonts w:ascii="Arial" w:hAnsi="Arial" w:cs="Arial"/>
          <w:bCs/>
          <w:sz w:val="20"/>
          <w:szCs w:val="20"/>
        </w:rPr>
        <w:t xml:space="preserve"> les certifications d’organismes indépendants pour le respect des paramètres techniques </w:t>
      </w:r>
      <w:r>
        <w:rPr>
          <w:rFonts w:ascii="Arial" w:hAnsi="Arial" w:cs="Arial"/>
          <w:bCs/>
          <w:sz w:val="20"/>
          <w:szCs w:val="20"/>
        </w:rPr>
        <w:t xml:space="preserve">du projet et </w:t>
      </w:r>
      <w:r w:rsidRPr="009E2224">
        <w:rPr>
          <w:rFonts w:ascii="Arial" w:hAnsi="Arial" w:cs="Arial"/>
          <w:bCs/>
          <w:sz w:val="20"/>
          <w:szCs w:val="20"/>
        </w:rPr>
        <w:t>des produits.</w:t>
      </w:r>
    </w:p>
    <w:p w:rsidR="00742F50" w:rsidRPr="009E2224" w:rsidRDefault="00742F50" w:rsidP="00742F50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9E2224">
        <w:rPr>
          <w:rFonts w:ascii="Arial" w:hAnsi="Arial" w:cs="Arial"/>
          <w:bCs/>
          <w:sz w:val="20"/>
          <w:szCs w:val="20"/>
        </w:rPr>
        <w:t xml:space="preserve">Un contrôle ex-post sur l’installation réalisée, permettant de vérifier la correcte installation du matériel et le respect des performances d’éclairage et énergétiques annoncées </w:t>
      </w:r>
      <w:r w:rsidRPr="009E2224">
        <w:rPr>
          <w:rFonts w:ascii="Arial" w:hAnsi="Arial" w:cs="Arial"/>
          <w:bCs/>
          <w:i/>
          <w:sz w:val="20"/>
          <w:szCs w:val="20"/>
        </w:rPr>
        <w:t>(</w:t>
      </w:r>
      <w:r w:rsidRPr="009E2224">
        <w:rPr>
          <w:rFonts w:ascii="Arial" w:hAnsi="Arial" w:cs="Arial"/>
          <w:bCs/>
          <w:i/>
          <w:sz w:val="20"/>
          <w:szCs w:val="20"/>
        </w:rPr>
        <w:sym w:font="Wingdings" w:char="F0E0"/>
      </w:r>
      <w:r w:rsidRPr="009E2224">
        <w:rPr>
          <w:rFonts w:ascii="Arial" w:hAnsi="Arial" w:cs="Arial"/>
          <w:bCs/>
          <w:i/>
          <w:sz w:val="20"/>
          <w:szCs w:val="20"/>
        </w:rPr>
        <w:t xml:space="preserve"> cahier des charges du contrôle ex-post à réaliser). </w:t>
      </w:r>
    </w:p>
    <w:p w:rsidR="00742F50" w:rsidRPr="009E2224" w:rsidRDefault="00742F50" w:rsidP="00742F50">
      <w:pPr>
        <w:pStyle w:val="Paragraphedeliste"/>
        <w:jc w:val="both"/>
        <w:rPr>
          <w:rFonts w:ascii="Arial" w:hAnsi="Arial" w:cs="Arial"/>
          <w:bCs/>
          <w:sz w:val="20"/>
          <w:szCs w:val="20"/>
        </w:rPr>
      </w:pPr>
    </w:p>
    <w:p w:rsidR="00742F50" w:rsidRPr="009E2224" w:rsidRDefault="00742F50" w:rsidP="0047249C">
      <w:pPr>
        <w:pStyle w:val="Paragraphedeliste"/>
        <w:spacing w:after="120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Selon la taille du projet, l</w:t>
      </w:r>
      <w:r w:rsidRPr="009E2224">
        <w:rPr>
          <w:rFonts w:ascii="Arial" w:hAnsi="Arial" w:cs="Arial"/>
          <w:bCs/>
          <w:sz w:val="20"/>
          <w:szCs w:val="20"/>
        </w:rPr>
        <w:t>a totalité de l’aide EDF pourra être versée seulement après la réalisation du contrôle ex-post.</w:t>
      </w:r>
    </w:p>
    <w:p w:rsidR="009C65B7" w:rsidRPr="009C65B7" w:rsidRDefault="009C65B7" w:rsidP="0047249C">
      <w:pPr>
        <w:pStyle w:val="Titre1"/>
        <w:spacing w:before="240" w:after="120"/>
        <w:ind w:left="431" w:hanging="431"/>
      </w:pPr>
      <w:bookmarkStart w:id="4" w:name="_Toc505675812"/>
      <w:bookmarkStart w:id="5" w:name="_Toc505675813"/>
      <w:bookmarkEnd w:id="4"/>
      <w:r w:rsidRPr="009C65B7">
        <w:t>Diagnostic - Etude technique de l'installation à rénover</w:t>
      </w:r>
      <w:bookmarkEnd w:id="5"/>
    </w:p>
    <w:p w:rsidR="00B463B4" w:rsidRDefault="00B463B4" w:rsidP="00210BE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 diagnostic est demandé pour les projets su</w:t>
      </w:r>
      <w:r w:rsidR="00742F50">
        <w:rPr>
          <w:rFonts w:ascii="Arial" w:hAnsi="Arial" w:cs="Arial"/>
          <w:b/>
          <w:bCs/>
          <w:sz w:val="20"/>
          <w:szCs w:val="20"/>
        </w:rPr>
        <w:t>périeurs à 200 points lumineux.</w:t>
      </w:r>
    </w:p>
    <w:p w:rsidR="009C65B7" w:rsidRDefault="009C65B7" w:rsidP="00210BE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Faire référence aux cahiers de charges type mise à disposition par EDF, en collaboration avec l’</w:t>
      </w:r>
      <w:r w:rsidR="00210BE7">
        <w:rPr>
          <w:rFonts w:ascii="Arial" w:hAnsi="Arial" w:cs="Arial"/>
          <w:b/>
          <w:bCs/>
          <w:sz w:val="20"/>
          <w:szCs w:val="20"/>
        </w:rPr>
        <w:t>ADEME :</w:t>
      </w:r>
    </w:p>
    <w:p w:rsidR="00A40788" w:rsidRPr="00A40788" w:rsidRDefault="00A40788" w:rsidP="00A4078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A40788">
        <w:rPr>
          <w:rFonts w:ascii="Arial" w:hAnsi="Arial" w:cs="Arial"/>
          <w:bCs/>
          <w:i/>
          <w:sz w:val="20"/>
          <w:szCs w:val="20"/>
        </w:rPr>
        <w:t>EP-Cahier des charges Diagnostic V2017 - v2.docx</w:t>
      </w:r>
    </w:p>
    <w:p w:rsidR="00210BE7" w:rsidRPr="00210BE7" w:rsidRDefault="00210BE7" w:rsidP="0047249C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diagnostic doit permettre d’établir notamment les éléments suivants :</w:t>
      </w:r>
    </w:p>
    <w:p w:rsidR="0039710C" w:rsidRPr="0047249C" w:rsidRDefault="0039710C" w:rsidP="0039710C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</w:t>
      </w:r>
      <w:r w:rsidRPr="00E80B7D">
        <w:rPr>
          <w:rFonts w:ascii="Arial" w:hAnsi="Arial" w:cs="Arial"/>
          <w:b/>
          <w:sz w:val="20"/>
          <w:szCs w:val="20"/>
        </w:rPr>
        <w:t>proposition de projet de rénovation</w:t>
      </w:r>
      <w:r>
        <w:rPr>
          <w:rFonts w:ascii="Arial" w:hAnsi="Arial" w:cs="Arial"/>
          <w:b/>
          <w:sz w:val="20"/>
          <w:szCs w:val="20"/>
        </w:rPr>
        <w:t> ;</w:t>
      </w:r>
      <w:r w:rsidRPr="00E80B7D">
        <w:rPr>
          <w:rFonts w:ascii="Arial" w:hAnsi="Arial" w:cs="Arial"/>
          <w:b/>
          <w:sz w:val="20"/>
          <w:szCs w:val="20"/>
        </w:rPr>
        <w:t> </w:t>
      </w:r>
    </w:p>
    <w:p w:rsidR="009C65B7" w:rsidRPr="00E80B7D" w:rsidRDefault="00210BE7" w:rsidP="009C65B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C65B7" w:rsidRPr="00582CA0">
        <w:rPr>
          <w:rFonts w:ascii="Arial" w:hAnsi="Arial" w:cs="Arial"/>
          <w:sz w:val="20"/>
          <w:szCs w:val="20"/>
        </w:rPr>
        <w:t xml:space="preserve">es </w:t>
      </w:r>
      <w:r w:rsidR="009C65B7" w:rsidRPr="00582CA0">
        <w:rPr>
          <w:rFonts w:ascii="Arial" w:hAnsi="Arial" w:cs="Arial"/>
          <w:b/>
          <w:bCs/>
          <w:sz w:val="20"/>
          <w:szCs w:val="20"/>
        </w:rPr>
        <w:t xml:space="preserve">niveaux d’éclairements ou luminances maintenus </w:t>
      </w:r>
      <w:r w:rsidR="009C65B7" w:rsidRPr="00582CA0">
        <w:rPr>
          <w:rFonts w:ascii="Arial" w:hAnsi="Arial" w:cs="Arial"/>
          <w:sz w:val="20"/>
          <w:szCs w:val="20"/>
        </w:rPr>
        <w:t xml:space="preserve">suivant les nouveaux critères de </w:t>
      </w:r>
      <w:r w:rsidR="000F3523">
        <w:rPr>
          <w:rFonts w:ascii="Arial" w:hAnsi="Arial" w:cs="Arial"/>
          <w:sz w:val="20"/>
          <w:szCs w:val="20"/>
        </w:rPr>
        <w:t>classification des voieries</w:t>
      </w:r>
      <w:r w:rsidR="009C65B7" w:rsidRPr="00582CA0">
        <w:rPr>
          <w:rFonts w:ascii="Arial" w:hAnsi="Arial" w:cs="Arial"/>
          <w:sz w:val="20"/>
          <w:szCs w:val="20"/>
        </w:rPr>
        <w:t xml:space="preserve"> de l'Association Française de l'Eclairage</w:t>
      </w:r>
      <w:r w:rsidR="009C65B7">
        <w:rPr>
          <w:rFonts w:ascii="Arial" w:hAnsi="Arial" w:cs="Arial"/>
          <w:sz w:val="20"/>
          <w:szCs w:val="20"/>
        </w:rPr>
        <w:t xml:space="preserve"> et de la Norme </w:t>
      </w:r>
      <w:r w:rsidR="009C65B7" w:rsidRPr="00CC6E3B">
        <w:rPr>
          <w:rFonts w:ascii="Frutiger Light" w:hAnsi="Frutiger Light" w:cs="Times New Roman"/>
        </w:rPr>
        <w:t xml:space="preserve">NF EN 13201 </w:t>
      </w:r>
      <w:r w:rsidR="009C65B7" w:rsidRPr="00582CA0">
        <w:rPr>
          <w:rFonts w:ascii="Arial" w:hAnsi="Arial" w:cs="Arial"/>
          <w:sz w:val="20"/>
          <w:szCs w:val="20"/>
        </w:rPr>
        <w:t xml:space="preserve"> (</w:t>
      </w:r>
      <w:r w:rsidR="00582433">
        <w:rPr>
          <w:rFonts w:ascii="Arial" w:hAnsi="Arial" w:cs="Arial"/>
          <w:sz w:val="20"/>
          <w:szCs w:val="20"/>
        </w:rPr>
        <w:t>‘’éclairer juste’’)</w:t>
      </w:r>
      <w:r>
        <w:rPr>
          <w:rFonts w:ascii="Arial" w:hAnsi="Arial" w:cs="Arial"/>
          <w:sz w:val="20"/>
          <w:szCs w:val="20"/>
        </w:rPr>
        <w:t> ;</w:t>
      </w:r>
    </w:p>
    <w:p w:rsidR="005B0108" w:rsidRPr="0047249C" w:rsidRDefault="00210BE7" w:rsidP="009C65B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82433">
        <w:rPr>
          <w:rFonts w:ascii="Arial" w:hAnsi="Arial" w:cs="Arial"/>
          <w:sz w:val="20"/>
          <w:szCs w:val="20"/>
        </w:rPr>
        <w:t>les</w:t>
      </w:r>
      <w:r w:rsidRPr="00582433">
        <w:rPr>
          <w:rFonts w:ascii="Arial" w:hAnsi="Arial" w:cs="Arial"/>
          <w:b/>
          <w:sz w:val="20"/>
          <w:szCs w:val="20"/>
        </w:rPr>
        <w:t xml:space="preserve"> économies d’énergie du projet de rénovation</w:t>
      </w:r>
      <w:r>
        <w:rPr>
          <w:rFonts w:ascii="Arial" w:hAnsi="Arial" w:cs="Arial"/>
          <w:sz w:val="20"/>
          <w:szCs w:val="20"/>
        </w:rPr>
        <w:t xml:space="preserve">, avec le calcul </w:t>
      </w:r>
      <w:r w:rsidR="009C65B7" w:rsidRPr="00582433">
        <w:rPr>
          <w:rFonts w:ascii="Arial" w:hAnsi="Arial" w:cs="Arial"/>
          <w:sz w:val="20"/>
          <w:szCs w:val="20"/>
        </w:rPr>
        <w:t>de la</w:t>
      </w:r>
      <w:r w:rsidR="002F0D2F">
        <w:rPr>
          <w:rFonts w:ascii="Arial" w:hAnsi="Arial" w:cs="Arial"/>
          <w:bCs/>
          <w:sz w:val="20"/>
          <w:szCs w:val="20"/>
        </w:rPr>
        <w:t xml:space="preserve"> puissance installée </w:t>
      </w:r>
      <w:r w:rsidR="009C65B7" w:rsidRPr="00582433">
        <w:rPr>
          <w:rFonts w:ascii="Arial" w:hAnsi="Arial" w:cs="Arial"/>
          <w:sz w:val="20"/>
          <w:szCs w:val="20"/>
        </w:rPr>
        <w:t xml:space="preserve">et </w:t>
      </w:r>
      <w:r w:rsidRPr="00582433">
        <w:rPr>
          <w:rFonts w:ascii="Arial" w:hAnsi="Arial" w:cs="Arial"/>
          <w:sz w:val="20"/>
          <w:szCs w:val="20"/>
        </w:rPr>
        <w:t xml:space="preserve">de l’énergie consommée </w:t>
      </w:r>
      <w:r w:rsidRPr="00582433">
        <w:rPr>
          <w:rFonts w:ascii="Arial" w:hAnsi="Arial" w:cs="Arial"/>
          <w:bCs/>
          <w:sz w:val="20"/>
          <w:szCs w:val="20"/>
        </w:rPr>
        <w:t>avant travaux / après travaux</w:t>
      </w:r>
      <w:r w:rsidR="00582433" w:rsidRPr="00582433">
        <w:rPr>
          <w:rFonts w:ascii="Arial" w:hAnsi="Arial" w:cs="Arial"/>
          <w:bCs/>
          <w:sz w:val="20"/>
          <w:szCs w:val="20"/>
        </w:rPr>
        <w:t xml:space="preserve"> </w:t>
      </w:r>
      <w:r w:rsidR="00582433" w:rsidRPr="00582433">
        <w:rPr>
          <w:rFonts w:ascii="Arial" w:hAnsi="Arial" w:cs="Arial"/>
          <w:sz w:val="20"/>
          <w:szCs w:val="20"/>
        </w:rPr>
        <w:t> (auxiliaires</w:t>
      </w:r>
      <w:r w:rsidR="00582433" w:rsidRPr="00582CA0">
        <w:rPr>
          <w:rFonts w:ascii="Arial" w:hAnsi="Arial" w:cs="Arial"/>
          <w:sz w:val="20"/>
          <w:szCs w:val="20"/>
        </w:rPr>
        <w:t xml:space="preserve"> d'alimentation inclus)</w:t>
      </w:r>
      <w:r w:rsidR="002F0D2F">
        <w:rPr>
          <w:rFonts w:ascii="Arial" w:hAnsi="Arial" w:cs="Arial"/>
          <w:sz w:val="20"/>
          <w:szCs w:val="20"/>
        </w:rPr>
        <w:t>.</w:t>
      </w:r>
      <w:r w:rsidR="00E6727F">
        <w:rPr>
          <w:rFonts w:ascii="Arial" w:hAnsi="Arial" w:cs="Arial"/>
          <w:sz w:val="20"/>
          <w:szCs w:val="20"/>
        </w:rPr>
        <w:t xml:space="preserve"> </w:t>
      </w:r>
    </w:p>
    <w:p w:rsidR="00A25B49" w:rsidRDefault="00D10C7B" w:rsidP="0047249C">
      <w:pPr>
        <w:pStyle w:val="Titre1"/>
        <w:spacing w:before="240" w:after="120"/>
        <w:ind w:left="431" w:hanging="431"/>
      </w:pPr>
      <w:bookmarkStart w:id="6" w:name="_Toc505674440"/>
      <w:bookmarkStart w:id="7" w:name="_Toc505675045"/>
      <w:bookmarkStart w:id="8" w:name="_Toc505675814"/>
      <w:bookmarkStart w:id="9" w:name="_Toc505675815"/>
      <w:bookmarkEnd w:id="6"/>
      <w:bookmarkEnd w:id="7"/>
      <w:bookmarkEnd w:id="8"/>
      <w:r>
        <w:t>Normes</w:t>
      </w:r>
      <w:r w:rsidR="008C2A8E">
        <w:t xml:space="preserve"> à respecter pour </w:t>
      </w:r>
      <w:r>
        <w:t>la rénovation des luminaires et des armoires</w:t>
      </w:r>
      <w:bookmarkEnd w:id="9"/>
      <w:r w:rsidR="008C34D2">
        <w:t xml:space="preserve"> </w:t>
      </w:r>
    </w:p>
    <w:p w:rsidR="00C27F1A" w:rsidRPr="009C65B7" w:rsidRDefault="00F960FE" w:rsidP="009C65B7">
      <w:pPr>
        <w:pStyle w:val="Textefragment"/>
        <w:jc w:val="both"/>
        <w:rPr>
          <w:rFonts w:ascii="Arial" w:hAnsi="Arial" w:cs="Arial"/>
        </w:rPr>
      </w:pPr>
      <w:r w:rsidRPr="009C65B7">
        <w:rPr>
          <w:rFonts w:ascii="Arial" w:hAnsi="Arial" w:cs="Arial"/>
          <w:b/>
        </w:rPr>
        <w:t xml:space="preserve">Le </w:t>
      </w:r>
      <w:r w:rsidR="0047249C">
        <w:rPr>
          <w:rFonts w:ascii="Arial" w:hAnsi="Arial" w:cs="Arial"/>
          <w:b/>
        </w:rPr>
        <w:t>projet de rénovation</w:t>
      </w:r>
      <w:r w:rsidR="0047249C" w:rsidRPr="009C65B7">
        <w:rPr>
          <w:rFonts w:ascii="Arial" w:hAnsi="Arial" w:cs="Arial"/>
          <w:b/>
        </w:rPr>
        <w:t xml:space="preserve"> </w:t>
      </w:r>
      <w:r w:rsidRPr="009C65B7">
        <w:rPr>
          <w:rFonts w:ascii="Arial" w:hAnsi="Arial" w:cs="Arial"/>
          <w:b/>
        </w:rPr>
        <w:t xml:space="preserve">de </w:t>
      </w:r>
      <w:r w:rsidR="008C34D2" w:rsidRPr="009C65B7">
        <w:rPr>
          <w:rFonts w:ascii="Arial" w:hAnsi="Arial" w:cs="Arial"/>
          <w:b/>
        </w:rPr>
        <w:t>l’éclairage public</w:t>
      </w:r>
      <w:r w:rsidRPr="009C65B7">
        <w:rPr>
          <w:rFonts w:ascii="Arial" w:hAnsi="Arial" w:cs="Arial"/>
          <w:b/>
        </w:rPr>
        <w:t xml:space="preserve"> doit répondre aux exigences de sécurité imposées par les normes en vigueur</w:t>
      </w:r>
      <w:r w:rsidR="00C27F1A" w:rsidRPr="009C65B7">
        <w:rPr>
          <w:rFonts w:ascii="Arial" w:hAnsi="Arial" w:cs="Arial"/>
          <w:b/>
        </w:rPr>
        <w:t xml:space="preserve"> au moment des travaux</w:t>
      </w:r>
      <w:r w:rsidR="00C27F1A" w:rsidRPr="009C65B7">
        <w:rPr>
          <w:rFonts w:ascii="Arial" w:hAnsi="Arial" w:cs="Arial"/>
        </w:rPr>
        <w:t xml:space="preserve"> ; </w:t>
      </w:r>
      <w:r w:rsidR="00C27F1A" w:rsidRPr="009C65B7">
        <w:rPr>
          <w:rFonts w:ascii="Arial" w:hAnsi="Arial" w:cs="Arial"/>
          <w:spacing w:val="-6"/>
        </w:rPr>
        <w:t>toute modification sur les candélabres</w:t>
      </w:r>
      <w:r w:rsidR="00CC6E3B" w:rsidRPr="009C65B7">
        <w:rPr>
          <w:rFonts w:ascii="Arial" w:hAnsi="Arial" w:cs="Arial"/>
          <w:spacing w:val="-6"/>
        </w:rPr>
        <w:t xml:space="preserve"> et</w:t>
      </w:r>
      <w:r w:rsidR="00C27F1A" w:rsidRPr="009C65B7">
        <w:rPr>
          <w:rFonts w:ascii="Arial" w:hAnsi="Arial" w:cs="Arial"/>
          <w:spacing w:val="-6"/>
        </w:rPr>
        <w:t xml:space="preserve"> sur les armoires oblige, en matière de sécurité, la mise à niveau des éléments concernés suivant le respect des normes en vigueur. </w:t>
      </w:r>
      <w:r w:rsidRPr="009C65B7">
        <w:rPr>
          <w:rFonts w:ascii="Arial" w:hAnsi="Arial" w:cs="Arial"/>
        </w:rPr>
        <w:t xml:space="preserve"> </w:t>
      </w:r>
    </w:p>
    <w:p w:rsidR="008C34D2" w:rsidRPr="009C65B7" w:rsidRDefault="009C65B7" w:rsidP="009C65B7">
      <w:pPr>
        <w:pStyle w:val="Textefragment"/>
        <w:jc w:val="both"/>
        <w:rPr>
          <w:rFonts w:ascii="Arial" w:hAnsi="Arial" w:cs="Arial"/>
          <w:b/>
        </w:rPr>
      </w:pPr>
      <w:r w:rsidRPr="009C65B7">
        <w:rPr>
          <w:rFonts w:ascii="Arial" w:hAnsi="Arial" w:cs="Arial"/>
          <w:b/>
        </w:rPr>
        <w:t xml:space="preserve">Principales </w:t>
      </w:r>
      <w:r w:rsidR="008C34D2" w:rsidRPr="009C65B7">
        <w:rPr>
          <w:rFonts w:ascii="Arial" w:hAnsi="Arial" w:cs="Arial"/>
          <w:b/>
        </w:rPr>
        <w:t xml:space="preserve">Normes </w:t>
      </w:r>
      <w:r w:rsidR="002F0D2F">
        <w:rPr>
          <w:rFonts w:ascii="Arial" w:hAnsi="Arial" w:cs="Arial"/>
          <w:b/>
        </w:rPr>
        <w:t>applicables</w:t>
      </w:r>
      <w:r w:rsidR="00CC6E3B" w:rsidRPr="009C65B7">
        <w:rPr>
          <w:rFonts w:ascii="Arial" w:hAnsi="Arial" w:cs="Arial"/>
          <w:b/>
        </w:rPr>
        <w:t xml:space="preserve"> (liste non-exhaustive)</w:t>
      </w:r>
      <w:r w:rsidR="008C34D2" w:rsidRPr="009C65B7">
        <w:rPr>
          <w:rFonts w:ascii="Arial" w:hAnsi="Arial" w:cs="Arial"/>
          <w:b/>
        </w:rPr>
        <w:t> :</w:t>
      </w:r>
    </w:p>
    <w:p w:rsidR="00EF3547" w:rsidRPr="009C65B7" w:rsidRDefault="00EF3547" w:rsidP="000F3523">
      <w:pPr>
        <w:pStyle w:val="Textefragment"/>
        <w:numPr>
          <w:ilvl w:val="0"/>
          <w:numId w:val="14"/>
        </w:numPr>
        <w:jc w:val="both"/>
        <w:rPr>
          <w:rFonts w:ascii="Arial" w:hAnsi="Arial" w:cs="Arial"/>
        </w:rPr>
      </w:pPr>
      <w:r w:rsidRPr="009C65B7">
        <w:rPr>
          <w:rFonts w:ascii="Arial" w:hAnsi="Arial" w:cs="Arial"/>
        </w:rPr>
        <w:t>Définition et validation des niveaux d</w:t>
      </w:r>
      <w:r w:rsidR="00CC6E3B" w:rsidRPr="009C65B7">
        <w:rPr>
          <w:rFonts w:ascii="Arial" w:hAnsi="Arial" w:cs="Arial"/>
        </w:rPr>
        <w:t>’éclairage</w:t>
      </w:r>
      <w:r w:rsidRPr="009C65B7">
        <w:rPr>
          <w:rFonts w:ascii="Arial" w:hAnsi="Arial" w:cs="Arial"/>
        </w:rPr>
        <w:t xml:space="preserve"> dans l’espace public</w:t>
      </w:r>
      <w:r w:rsidR="000F3523">
        <w:rPr>
          <w:rFonts w:ascii="Arial" w:hAnsi="Arial" w:cs="Arial"/>
        </w:rPr>
        <w:t xml:space="preserve"> : </w:t>
      </w:r>
      <w:r w:rsidRPr="009C65B7">
        <w:rPr>
          <w:rFonts w:ascii="Arial" w:hAnsi="Arial" w:cs="Arial"/>
        </w:rPr>
        <w:t xml:space="preserve">NF EN 13201 </w:t>
      </w:r>
      <w:r w:rsidR="00CC6E3B" w:rsidRPr="009C65B7">
        <w:rPr>
          <w:rFonts w:ascii="Arial" w:hAnsi="Arial" w:cs="Arial"/>
        </w:rPr>
        <w:t>(5 parties)</w:t>
      </w:r>
      <w:r w:rsidR="000F3523">
        <w:rPr>
          <w:rFonts w:ascii="Arial" w:hAnsi="Arial" w:cs="Arial"/>
        </w:rPr>
        <w:t> ;</w:t>
      </w:r>
    </w:p>
    <w:p w:rsidR="00064016" w:rsidRDefault="00EF3547" w:rsidP="000F3523">
      <w:pPr>
        <w:pStyle w:val="Textefragment"/>
        <w:numPr>
          <w:ilvl w:val="0"/>
          <w:numId w:val="14"/>
        </w:numPr>
        <w:jc w:val="both"/>
        <w:rPr>
          <w:rFonts w:ascii="Arial" w:hAnsi="Arial" w:cs="Arial"/>
        </w:rPr>
      </w:pPr>
      <w:r w:rsidRPr="009C65B7">
        <w:rPr>
          <w:rFonts w:ascii="Arial" w:hAnsi="Arial" w:cs="Arial"/>
        </w:rPr>
        <w:t>Normes et règles d’installation</w:t>
      </w:r>
      <w:r w:rsidR="000F3523">
        <w:rPr>
          <w:rFonts w:ascii="Arial" w:hAnsi="Arial" w:cs="Arial"/>
        </w:rPr>
        <w:t xml:space="preserve"> : </w:t>
      </w:r>
      <w:r w:rsidRPr="000F3523">
        <w:rPr>
          <w:rFonts w:ascii="Arial" w:hAnsi="Arial" w:cs="Arial"/>
        </w:rPr>
        <w:t>NF C 17-200</w:t>
      </w:r>
      <w:r w:rsidR="00CC6E3B" w:rsidRPr="000F3523">
        <w:rPr>
          <w:rFonts w:ascii="Arial" w:hAnsi="Arial" w:cs="Arial"/>
        </w:rPr>
        <w:t xml:space="preserve">, </w:t>
      </w:r>
      <w:r w:rsidR="000F3523" w:rsidRPr="000F3523">
        <w:rPr>
          <w:rFonts w:ascii="Arial" w:hAnsi="Arial" w:cs="Arial"/>
        </w:rPr>
        <w:t>NF C 17-202, NF C 17-205, NF C 15-100</w:t>
      </w:r>
      <w:r w:rsidR="00064016">
        <w:rPr>
          <w:rFonts w:ascii="Arial" w:hAnsi="Arial" w:cs="Arial"/>
        </w:rPr>
        <w:t> ;</w:t>
      </w:r>
    </w:p>
    <w:p w:rsidR="00D10C7B" w:rsidRPr="00064016" w:rsidRDefault="00064016" w:rsidP="00064016">
      <w:pPr>
        <w:pStyle w:val="Textefragment"/>
        <w:numPr>
          <w:ilvl w:val="0"/>
          <w:numId w:val="14"/>
        </w:numPr>
        <w:jc w:val="both"/>
        <w:rPr>
          <w:rFonts w:ascii="Arial" w:hAnsi="Arial" w:cs="Arial"/>
        </w:rPr>
      </w:pPr>
      <w:r w:rsidRPr="00F04BAF">
        <w:rPr>
          <w:rFonts w:ascii="Arial" w:hAnsi="Arial" w:cs="Arial"/>
        </w:rPr>
        <w:lastRenderedPageBreak/>
        <w:t>Les luminaires devront avoir le marquage CE</w:t>
      </w:r>
      <w:r>
        <w:rPr>
          <w:rFonts w:ascii="Arial" w:hAnsi="Arial" w:cs="Arial"/>
        </w:rPr>
        <w:t xml:space="preserve"> (obligatoire)</w:t>
      </w:r>
      <w:r w:rsidR="00D051D8">
        <w:rPr>
          <w:rFonts w:ascii="Arial" w:hAnsi="Arial" w:cs="Arial"/>
        </w:rPr>
        <w:t xml:space="preserve"> et les rapports d’essais justifiant la conformité aux normes seront fournis</w:t>
      </w:r>
    </w:p>
    <w:p w:rsidR="009C65B7" w:rsidRPr="009C65B7" w:rsidRDefault="009C65B7" w:rsidP="009C65B7">
      <w:pPr>
        <w:pStyle w:val="Titre1"/>
        <w:spacing w:after="120"/>
        <w:ind w:left="431" w:hanging="431"/>
      </w:pPr>
      <w:bookmarkStart w:id="10" w:name="_Toc505675816"/>
      <w:r w:rsidRPr="009C65B7">
        <w:t>Contraintes techniques pour les nouveaux luminaires</w:t>
      </w:r>
      <w:bookmarkEnd w:id="10"/>
    </w:p>
    <w:tbl>
      <w:tblPr>
        <w:tblStyle w:val="Grilledutableau"/>
        <w:tblW w:w="10235" w:type="dxa"/>
        <w:tblLayout w:type="fixed"/>
        <w:tblLook w:val="04A0" w:firstRow="1" w:lastRow="0" w:firstColumn="1" w:lastColumn="0" w:noHBand="0" w:noVBand="1"/>
      </w:tblPr>
      <w:tblGrid>
        <w:gridCol w:w="1985"/>
        <w:gridCol w:w="4139"/>
        <w:gridCol w:w="4111"/>
      </w:tblGrid>
      <w:tr w:rsidR="00412A45" w:rsidTr="0047249C">
        <w:trPr>
          <w:tblHeader/>
        </w:trPr>
        <w:tc>
          <w:tcPr>
            <w:tcW w:w="1985" w:type="dxa"/>
          </w:tcPr>
          <w:p w:rsidR="00412A45" w:rsidRDefault="00412A45" w:rsidP="0047249C">
            <w:pPr>
              <w:spacing w:before="120" w:after="120"/>
              <w:ind w:left="454" w:right="133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4139" w:type="dxa"/>
          </w:tcPr>
          <w:p w:rsidR="00412A45" w:rsidRDefault="00412A45" w:rsidP="00EB23CD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Valeur exigée</w:t>
            </w:r>
          </w:p>
        </w:tc>
        <w:tc>
          <w:tcPr>
            <w:tcW w:w="4111" w:type="dxa"/>
          </w:tcPr>
          <w:p w:rsidR="00412A45" w:rsidRDefault="00412A45" w:rsidP="00EB23C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Explication</w:t>
            </w:r>
          </w:p>
        </w:tc>
      </w:tr>
      <w:tr w:rsidR="00412A45" w:rsidTr="0047249C">
        <w:tc>
          <w:tcPr>
            <w:tcW w:w="1985" w:type="dxa"/>
          </w:tcPr>
          <w:p w:rsidR="00412A45" w:rsidRPr="007F40A5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Efficacité Lumineuse [lumen</w:t>
            </w:r>
            <w:r w:rsidRPr="007F40A5">
              <w:rPr>
                <w:rFonts w:ascii="Arial" w:hAnsi="Arial" w:cs="Arial"/>
                <w:bCs/>
                <w:sz w:val="20"/>
                <w:szCs w:val="20"/>
              </w:rPr>
              <w:t>/watt]</w:t>
            </w:r>
          </w:p>
        </w:tc>
        <w:tc>
          <w:tcPr>
            <w:tcW w:w="4139" w:type="dxa"/>
          </w:tcPr>
          <w:p w:rsidR="00412A45" w:rsidRPr="007F40A5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7F40A5">
              <w:rPr>
                <w:rFonts w:ascii="Arial" w:hAnsi="Arial" w:cs="Arial"/>
                <w:sz w:val="20"/>
                <w:szCs w:val="20"/>
              </w:rPr>
              <w:t xml:space="preserve">Cas n°1 Luminaires routiers voies urbaines : </w:t>
            </w:r>
            <w:r>
              <w:rPr>
                <w:rFonts w:ascii="Arial" w:hAnsi="Arial" w:cs="Arial"/>
                <w:sz w:val="20"/>
                <w:szCs w:val="20"/>
              </w:rPr>
              <w:t xml:space="preserve">Efficacité lumineuse en </w:t>
            </w:r>
            <w:r w:rsidRPr="0047249C">
              <w:rPr>
                <w:rFonts w:ascii="Arial" w:hAnsi="Arial" w:cs="Arial"/>
                <w:b/>
                <w:sz w:val="20"/>
                <w:szCs w:val="20"/>
              </w:rPr>
              <w:t>sortie luminaire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249C">
              <w:rPr>
                <w:rFonts w:ascii="Arial" w:hAnsi="Arial" w:cs="Arial"/>
                <w:b/>
                <w:sz w:val="20"/>
                <w:szCs w:val="20"/>
              </w:rPr>
              <w:t>aux conditions prévues de fonctionnement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≥ 110 lumen/</w:t>
            </w:r>
            <w:r w:rsidRPr="007F40A5">
              <w:rPr>
                <w:rFonts w:ascii="Arial" w:hAnsi="Arial" w:cs="Arial"/>
                <w:sz w:val="20"/>
                <w:szCs w:val="20"/>
              </w:rPr>
              <w:t xml:space="preserve">Watt </w:t>
            </w:r>
          </w:p>
          <w:p w:rsidR="00412A45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7F40A5">
              <w:rPr>
                <w:rFonts w:ascii="Arial" w:hAnsi="Arial" w:cs="Arial"/>
                <w:sz w:val="20"/>
                <w:szCs w:val="20"/>
              </w:rPr>
              <w:t>Ca</w:t>
            </w:r>
            <w:r>
              <w:rPr>
                <w:rFonts w:ascii="Arial" w:hAnsi="Arial" w:cs="Arial"/>
                <w:sz w:val="20"/>
                <w:szCs w:val="20"/>
              </w:rPr>
              <w:t>s n°2 Luminaires résidentiels (</w:t>
            </w:r>
            <w:r w:rsidRPr="007F40A5">
              <w:rPr>
                <w:rFonts w:ascii="Arial" w:hAnsi="Arial" w:cs="Arial"/>
                <w:sz w:val="20"/>
                <w:szCs w:val="20"/>
              </w:rPr>
              <w:t>parcs squares promenades) : Efficacité lumineuse  </w:t>
            </w:r>
            <w:r w:rsidRPr="00EB23CD">
              <w:rPr>
                <w:rFonts w:ascii="Arial" w:hAnsi="Arial" w:cs="Arial"/>
                <w:sz w:val="20"/>
                <w:szCs w:val="20"/>
              </w:rPr>
              <w:t>≥ 70 lumen/Watt</w:t>
            </w:r>
          </w:p>
          <w:p w:rsidR="00412A45" w:rsidRPr="00EA3BC9" w:rsidRDefault="00412A45" w:rsidP="0047249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7249C">
              <w:rPr>
                <w:rFonts w:ascii="Arial" w:hAnsi="Arial" w:cs="Arial"/>
                <w:bCs/>
                <w:sz w:val="20"/>
                <w:szCs w:val="20"/>
              </w:rPr>
              <w:t>Le calcul de l’efficacité lumineuse est effectué selon les normes. NF EN 62722-21</w:t>
            </w:r>
            <w:r w:rsidR="002A1D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249C">
              <w:rPr>
                <w:rFonts w:ascii="Arial" w:hAnsi="Arial" w:cs="Arial"/>
                <w:bCs/>
                <w:sz w:val="20"/>
                <w:szCs w:val="20"/>
              </w:rPr>
              <w:t>et certifiée par un organisme indépendant.</w:t>
            </w:r>
          </w:p>
        </w:tc>
        <w:tc>
          <w:tcPr>
            <w:tcW w:w="4111" w:type="dxa"/>
          </w:tcPr>
          <w:p w:rsidR="00412A4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40A5">
              <w:rPr>
                <w:rFonts w:ascii="Arial" w:hAnsi="Arial" w:cs="Arial"/>
                <w:bCs/>
                <w:sz w:val="20"/>
                <w:szCs w:val="20"/>
              </w:rPr>
              <w:t>L’efficacité lumineuse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élevée</w:t>
            </w:r>
            <w:r w:rsidRPr="007F40A5">
              <w:rPr>
                <w:rFonts w:ascii="Arial" w:hAnsi="Arial" w:cs="Arial"/>
                <w:bCs/>
                <w:sz w:val="20"/>
                <w:szCs w:val="20"/>
              </w:rPr>
              <w:t xml:space="preserve"> contribue à la performance énergétique du luminaire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12A45" w:rsidRPr="007F40A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Contrainte de la fiche CEE RES-EC-104 augmentée à 110 lumen/Watt.</w:t>
            </w:r>
            <w:r w:rsidRPr="007F40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12A45" w:rsidTr="0047249C">
        <w:tc>
          <w:tcPr>
            <w:tcW w:w="1985" w:type="dxa"/>
          </w:tcPr>
          <w:p w:rsidR="00412A45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Puissance installé</w:t>
            </w:r>
            <w:r w:rsidR="00742F50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[Watt]</w:t>
            </w:r>
          </w:p>
        </w:tc>
        <w:tc>
          <w:tcPr>
            <w:tcW w:w="4139" w:type="dxa"/>
          </w:tcPr>
          <w:p w:rsidR="00412A45" w:rsidRPr="007F40A5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Baisse de la puissance installée d’</w:t>
            </w:r>
            <w:r w:rsidR="00EA3BC9">
              <w:rPr>
                <w:rFonts w:ascii="Arial" w:hAnsi="Arial" w:cs="Arial"/>
                <w:sz w:val="20"/>
                <w:szCs w:val="20"/>
              </w:rPr>
              <w:t>au moins 2</w:t>
            </w:r>
            <w:r>
              <w:rPr>
                <w:rFonts w:ascii="Arial" w:hAnsi="Arial" w:cs="Arial"/>
                <w:sz w:val="20"/>
                <w:szCs w:val="20"/>
              </w:rPr>
              <w:t>0%</w:t>
            </w:r>
            <w:r w:rsidR="002A1D95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412A45" w:rsidRPr="007F40A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Garantie des économies d’énergie.</w:t>
            </w:r>
          </w:p>
        </w:tc>
      </w:tr>
      <w:tr w:rsidR="00412A45" w:rsidTr="0047249C">
        <w:tc>
          <w:tcPr>
            <w:tcW w:w="1985" w:type="dxa"/>
          </w:tcPr>
          <w:p w:rsidR="00412A45" w:rsidRPr="007F40A5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7F40A5">
              <w:rPr>
                <w:rFonts w:ascii="Arial" w:hAnsi="Arial" w:cs="Arial"/>
                <w:bCs/>
                <w:sz w:val="20"/>
                <w:szCs w:val="20"/>
              </w:rPr>
              <w:t>Température de couleur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[K]</w:t>
            </w:r>
          </w:p>
        </w:tc>
        <w:tc>
          <w:tcPr>
            <w:tcW w:w="4139" w:type="dxa"/>
          </w:tcPr>
          <w:p w:rsidR="00412A45" w:rsidRPr="007F40A5" w:rsidRDefault="00412A45" w:rsidP="00EB23CD">
            <w:pPr>
              <w:spacing w:before="120" w:after="12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7F40A5">
              <w:rPr>
                <w:rFonts w:ascii="Arial" w:hAnsi="Arial" w:cs="Arial"/>
                <w:sz w:val="20"/>
                <w:szCs w:val="20"/>
              </w:rPr>
              <w:t>T</w:t>
            </w:r>
            <w:r w:rsidRPr="007F40A5">
              <w:rPr>
                <w:rFonts w:ascii="Arial" w:hAnsi="Arial" w:cs="Arial"/>
                <w:bCs/>
                <w:sz w:val="20"/>
                <w:szCs w:val="20"/>
              </w:rPr>
              <w:t>empérature de couleur  comprise entre 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7F40A5">
              <w:rPr>
                <w:rFonts w:ascii="Arial" w:hAnsi="Arial" w:cs="Arial"/>
                <w:bCs/>
                <w:sz w:val="20"/>
                <w:szCs w:val="20"/>
              </w:rPr>
              <w:t>00 KELVIN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blanc chaud)  à 4000 KELVIN (</w:t>
            </w:r>
            <w:r w:rsidRPr="007F40A5">
              <w:rPr>
                <w:rFonts w:ascii="Arial" w:hAnsi="Arial" w:cs="Arial"/>
                <w:bCs/>
                <w:sz w:val="20"/>
                <w:szCs w:val="20"/>
              </w:rPr>
              <w:t>blanc neutre)</w:t>
            </w:r>
          </w:p>
        </w:tc>
        <w:tc>
          <w:tcPr>
            <w:tcW w:w="4111" w:type="dxa"/>
          </w:tcPr>
          <w:p w:rsidR="00412A45" w:rsidRPr="003E6AC0" w:rsidRDefault="00412A45" w:rsidP="003E6AC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E6AC0">
              <w:rPr>
                <w:rFonts w:ascii="Arial" w:hAnsi="Arial" w:cs="Arial"/>
                <w:bCs/>
                <w:sz w:val="20"/>
                <w:szCs w:val="20"/>
              </w:rPr>
              <w:t xml:space="preserve">Une température de couleur trop froide (&gt;4000 K) n’est pas acceptable pour le confort des usagers. </w:t>
            </w:r>
          </w:p>
          <w:p w:rsidR="00412A45" w:rsidRPr="003E6AC0" w:rsidRDefault="00412A45" w:rsidP="003E6AC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E6AC0">
              <w:rPr>
                <w:rFonts w:ascii="Arial" w:hAnsi="Arial" w:cs="Arial"/>
                <w:bCs/>
                <w:sz w:val="20"/>
                <w:szCs w:val="20"/>
              </w:rPr>
              <w:t>Risques de pollution lumineuse liés à la forte proportion de lumière bleue émise par les LED de couleur blanc froid.</w:t>
            </w:r>
          </w:p>
          <w:p w:rsidR="00412A45" w:rsidRPr="007F40A5" w:rsidRDefault="00412A45" w:rsidP="00D87C37">
            <w:pPr>
              <w:pStyle w:val="PrformatHTML"/>
              <w:rPr>
                <w:rFonts w:ascii="Arial" w:hAnsi="Arial" w:cs="Arial"/>
                <w:bCs/>
              </w:rPr>
            </w:pPr>
          </w:p>
        </w:tc>
      </w:tr>
      <w:tr w:rsidR="00412A45" w:rsidTr="0047249C">
        <w:tc>
          <w:tcPr>
            <w:tcW w:w="1985" w:type="dxa"/>
          </w:tcPr>
          <w:p w:rsidR="00412A45" w:rsidRPr="007F40A5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Luminaires et sources LED</w:t>
            </w:r>
          </w:p>
        </w:tc>
        <w:tc>
          <w:tcPr>
            <w:tcW w:w="4139" w:type="dxa"/>
          </w:tcPr>
          <w:p w:rsidR="00412A45" w:rsidRPr="007F40A5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sources LED et les luminaires sont intégrées, avec des optiques et des systèmes de dissipation de la chaleur intégrés </w:t>
            </w:r>
          </w:p>
        </w:tc>
        <w:tc>
          <w:tcPr>
            <w:tcW w:w="4111" w:type="dxa"/>
          </w:tcPr>
          <w:p w:rsidR="00412A4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 qualité des optiques intégrées dans le luminaire contribue à la performance énergétique du luminaire</w:t>
            </w:r>
          </w:p>
          <w:p w:rsidR="00412A4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L’intégration des LED dans le luminaire permet d’optimiser la dissipation de chaleur et donc la durée de vie et l’efficacité lumineuse</w:t>
            </w:r>
          </w:p>
          <w:p w:rsidR="00412A4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Sécurité des usagers en éclairage fonctionnel</w:t>
            </w:r>
          </w:p>
          <w:p w:rsidR="00412A45" w:rsidRPr="007F40A5" w:rsidRDefault="00BA726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412A45" w:rsidRPr="004F3516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http://www.afe-eclairage.fr/docs/2015/12/15/12-15-15-8-38-Point_vue_AFE_LED_de_substitution_eclairage_public.pdf</w:t>
              </w:r>
            </w:hyperlink>
            <w:r w:rsidR="00412A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12A45" w:rsidTr="0047249C">
        <w:tc>
          <w:tcPr>
            <w:tcW w:w="1985" w:type="dxa"/>
          </w:tcPr>
          <w:p w:rsidR="00412A45" w:rsidRPr="00EB23CD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B23CD">
              <w:rPr>
                <w:rFonts w:ascii="Arial" w:hAnsi="Arial" w:cs="Arial"/>
                <w:bCs/>
                <w:sz w:val="20"/>
                <w:szCs w:val="20"/>
              </w:rPr>
              <w:t>Durée de vie à 80% du flux initial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(L80B10)</w:t>
            </w:r>
          </w:p>
        </w:tc>
        <w:tc>
          <w:tcPr>
            <w:tcW w:w="4139" w:type="dxa"/>
          </w:tcPr>
          <w:p w:rsidR="00412A45" w:rsidRDefault="00412A45" w:rsidP="00EB23CD">
            <w:pPr>
              <w:spacing w:before="120" w:after="12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EB23CD">
              <w:rPr>
                <w:rFonts w:ascii="Arial" w:hAnsi="Arial" w:cs="Arial"/>
                <w:bCs/>
                <w:sz w:val="20"/>
                <w:szCs w:val="20"/>
              </w:rPr>
              <w:t>70 000 heures ou supérieur</w:t>
            </w:r>
          </w:p>
          <w:p w:rsidR="002A1D95" w:rsidRPr="00F04BAF" w:rsidRDefault="00412A45" w:rsidP="00CB3197">
            <w:pPr>
              <w:pStyle w:val="Textefragment"/>
              <w:ind w:left="34"/>
              <w:jc w:val="both"/>
              <w:rPr>
                <w:rFonts w:ascii="Arial" w:hAnsi="Arial" w:cs="Arial"/>
              </w:rPr>
            </w:pPr>
            <w:r w:rsidRPr="00F04BAF">
              <w:rPr>
                <w:rFonts w:ascii="Arial" w:hAnsi="Arial" w:cs="Arial"/>
              </w:rPr>
              <w:t>La durée de vie des LED devra être estimée selon les  règles LM80 et TM 21 ou NF EN 62722-21</w:t>
            </w:r>
            <w:r>
              <w:rPr>
                <w:rStyle w:val="Appelnotedebasdep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et certifiée par un organisme indépendant</w:t>
            </w:r>
            <w:r w:rsidR="002A1D95">
              <w:rPr>
                <w:rFonts w:ascii="Arial" w:hAnsi="Arial" w:cs="Arial"/>
              </w:rPr>
              <w:t>.</w:t>
            </w:r>
          </w:p>
          <w:p w:rsidR="00412A45" w:rsidRPr="00EB23CD" w:rsidRDefault="00412A45" w:rsidP="0047249C">
            <w:pPr>
              <w:pStyle w:val="Textefragment"/>
              <w:ind w:left="34"/>
              <w:jc w:val="both"/>
            </w:pPr>
          </w:p>
        </w:tc>
        <w:tc>
          <w:tcPr>
            <w:tcW w:w="4111" w:type="dxa"/>
          </w:tcPr>
          <w:p w:rsidR="00412A45" w:rsidRPr="00EB23CD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A45" w:rsidTr="0047249C">
        <w:tc>
          <w:tcPr>
            <w:tcW w:w="1985" w:type="dxa"/>
          </w:tcPr>
          <w:p w:rsidR="00412A45" w:rsidRPr="00EB23CD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B23CD">
              <w:rPr>
                <w:rFonts w:ascii="Arial" w:hAnsi="Arial" w:cs="Arial"/>
                <w:bCs/>
                <w:sz w:val="20"/>
                <w:szCs w:val="20"/>
              </w:rPr>
              <w:lastRenderedPageBreak/>
              <w:t>Durée de vie pour 5% de défaillances</w:t>
            </w:r>
          </w:p>
        </w:tc>
        <w:tc>
          <w:tcPr>
            <w:tcW w:w="4139" w:type="dxa"/>
          </w:tcPr>
          <w:p w:rsidR="00412A45" w:rsidRDefault="00412A45" w:rsidP="00EB23CD">
            <w:pPr>
              <w:spacing w:before="120" w:after="12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50 000 </w:t>
            </w:r>
            <w:r w:rsidRPr="00EB23CD">
              <w:rPr>
                <w:rFonts w:ascii="Arial" w:hAnsi="Arial" w:cs="Arial"/>
                <w:bCs/>
                <w:sz w:val="20"/>
                <w:szCs w:val="20"/>
              </w:rPr>
              <w:t xml:space="preserve"> heures ou supérieur</w:t>
            </w:r>
          </w:p>
          <w:p w:rsidR="002A1D95" w:rsidRPr="00F04BAF" w:rsidRDefault="00412A45" w:rsidP="00EA3BC9">
            <w:pPr>
              <w:pStyle w:val="Textefragment"/>
              <w:ind w:left="34"/>
              <w:jc w:val="both"/>
              <w:rPr>
                <w:rFonts w:ascii="Arial" w:hAnsi="Arial" w:cs="Arial"/>
              </w:rPr>
            </w:pPr>
            <w:r w:rsidRPr="00F04BAF">
              <w:rPr>
                <w:rFonts w:ascii="Arial" w:hAnsi="Arial" w:cs="Arial"/>
              </w:rPr>
              <w:t xml:space="preserve">La durée de vie des </w:t>
            </w:r>
            <w:r>
              <w:rPr>
                <w:rFonts w:ascii="Arial" w:hAnsi="Arial" w:cs="Arial"/>
              </w:rPr>
              <w:t>luminaires</w:t>
            </w:r>
            <w:r w:rsidRPr="00F04BAF">
              <w:rPr>
                <w:rFonts w:ascii="Arial" w:hAnsi="Arial" w:cs="Arial"/>
              </w:rPr>
              <w:t xml:space="preserve"> devra être estimée selon les  règles LM80 et TM 21 ou NF EN 62722-21</w:t>
            </w:r>
            <w:r>
              <w:rPr>
                <w:rStyle w:val="Appelnotedebasdep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et certifiée par un organisme indépendant.</w:t>
            </w:r>
          </w:p>
          <w:p w:rsidR="00412A45" w:rsidRPr="00EB23CD" w:rsidRDefault="00412A45" w:rsidP="0047249C">
            <w:pPr>
              <w:pStyle w:val="Textefragment"/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</w:tcPr>
          <w:p w:rsidR="00412A45" w:rsidRPr="00EB23CD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A45" w:rsidTr="0047249C">
        <w:tc>
          <w:tcPr>
            <w:tcW w:w="1985" w:type="dxa"/>
          </w:tcPr>
          <w:p w:rsidR="00412A45" w:rsidRPr="00EB23CD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B23CD">
              <w:rPr>
                <w:rFonts w:ascii="Arial" w:hAnsi="Arial" w:cs="Arial"/>
                <w:bCs/>
                <w:sz w:val="20"/>
                <w:szCs w:val="20"/>
              </w:rPr>
              <w:t>Garanties fournisseur</w:t>
            </w:r>
          </w:p>
        </w:tc>
        <w:tc>
          <w:tcPr>
            <w:tcW w:w="4139" w:type="dxa"/>
          </w:tcPr>
          <w:p w:rsidR="00412A45" w:rsidRDefault="00412A45" w:rsidP="00EB23CD">
            <w:pPr>
              <w:spacing w:before="120" w:after="12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 ans minimum sur l’ensemble des équipements du liminaires (drivers, électronique...), aux conditions d’utilisation locales  </w:t>
            </w:r>
          </w:p>
          <w:p w:rsidR="00412A45" w:rsidRPr="00EB23CD" w:rsidRDefault="00412A45" w:rsidP="00EA3BC9">
            <w:pPr>
              <w:spacing w:before="120" w:after="12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Intégrité mécanique : 12 ans</w:t>
            </w:r>
          </w:p>
        </w:tc>
        <w:tc>
          <w:tcPr>
            <w:tcW w:w="4111" w:type="dxa"/>
          </w:tcPr>
          <w:p w:rsidR="00412A45" w:rsidRPr="00EB23CD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A45" w:rsidTr="0047249C">
        <w:tc>
          <w:tcPr>
            <w:tcW w:w="1985" w:type="dxa"/>
          </w:tcPr>
          <w:p w:rsidR="00412A45" w:rsidRPr="00EB23CD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B23CD">
              <w:rPr>
                <w:rFonts w:ascii="Arial" w:hAnsi="Arial" w:cs="Arial"/>
                <w:bCs/>
                <w:sz w:val="20"/>
                <w:szCs w:val="20"/>
              </w:rPr>
              <w:t>Upward</w:t>
            </w:r>
            <w:proofErr w:type="spellEnd"/>
            <w:r w:rsidRPr="00EB23CD">
              <w:rPr>
                <w:rFonts w:ascii="Arial" w:hAnsi="Arial" w:cs="Arial"/>
                <w:bCs/>
                <w:sz w:val="20"/>
                <w:szCs w:val="20"/>
              </w:rPr>
              <w:t xml:space="preserve"> Light Ratio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EB23CD">
              <w:rPr>
                <w:rFonts w:ascii="Arial" w:hAnsi="Arial" w:cs="Arial"/>
                <w:bCs/>
                <w:sz w:val="20"/>
                <w:szCs w:val="20"/>
              </w:rPr>
              <w:t xml:space="preserve"> ULR [%]</w:t>
            </w:r>
          </w:p>
        </w:tc>
        <w:tc>
          <w:tcPr>
            <w:tcW w:w="4139" w:type="dxa"/>
          </w:tcPr>
          <w:p w:rsidR="00412A45" w:rsidRPr="00EB23CD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B23CD">
              <w:rPr>
                <w:rFonts w:ascii="Arial" w:hAnsi="Arial" w:cs="Arial"/>
                <w:sz w:val="20"/>
                <w:szCs w:val="20"/>
              </w:rPr>
              <w:t>Cas n°1 Luminaires routiers voies urbaines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B23CD">
              <w:rPr>
                <w:rFonts w:ascii="Arial" w:hAnsi="Arial" w:cs="Arial"/>
                <w:sz w:val="20"/>
                <w:szCs w:val="20"/>
              </w:rPr>
              <w:t>: ULR ≤ 3% (la Réunion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B23CD">
              <w:rPr>
                <w:rFonts w:ascii="Arial" w:hAnsi="Arial" w:cs="Arial"/>
                <w:sz w:val="20"/>
                <w:szCs w:val="20"/>
              </w:rPr>
              <w:t>: 1%)</w:t>
            </w:r>
          </w:p>
          <w:p w:rsidR="00412A45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B23CD">
              <w:rPr>
                <w:rFonts w:ascii="Arial" w:hAnsi="Arial" w:cs="Arial"/>
                <w:sz w:val="20"/>
                <w:szCs w:val="20"/>
              </w:rPr>
              <w:t>Cas n°2 Luminaires résidentiels (parcs squares promenades)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B23CD">
              <w:rPr>
                <w:rFonts w:ascii="Arial" w:hAnsi="Arial" w:cs="Arial"/>
                <w:sz w:val="20"/>
                <w:szCs w:val="20"/>
              </w:rPr>
              <w:t>: ULR ≤ 15 % (la Réunion1%)</w:t>
            </w:r>
          </w:p>
          <w:p w:rsidR="00412A45" w:rsidRPr="00EB23CD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 : ULR de l’ensemble installé, pas uniquement ULR théorique </w:t>
            </w:r>
          </w:p>
        </w:tc>
        <w:tc>
          <w:tcPr>
            <w:tcW w:w="4111" w:type="dxa"/>
          </w:tcPr>
          <w:p w:rsidR="00412A45" w:rsidRPr="00EB23CD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B23CD">
              <w:rPr>
                <w:rFonts w:ascii="Arial" w:hAnsi="Arial" w:cs="Arial"/>
                <w:bCs/>
                <w:sz w:val="20"/>
                <w:szCs w:val="20"/>
              </w:rPr>
              <w:t>Pourcentage de lumière diffusée au-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dessus </w:t>
            </w:r>
            <w:r w:rsidRPr="00EB23CD">
              <w:rPr>
                <w:rFonts w:ascii="Arial" w:hAnsi="Arial" w:cs="Arial"/>
                <w:bCs/>
                <w:sz w:val="20"/>
                <w:szCs w:val="20"/>
              </w:rPr>
              <w:t>de l’horizontal – Ce paramètre doit être plus faible possible pour limiter la pollution lumineuse</w:t>
            </w:r>
          </w:p>
          <w:p w:rsidR="00412A45" w:rsidRPr="00EB23CD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B23CD">
              <w:rPr>
                <w:rFonts w:ascii="Arial" w:hAnsi="Arial" w:cs="Arial"/>
                <w:bCs/>
                <w:sz w:val="20"/>
                <w:szCs w:val="20"/>
              </w:rPr>
              <w:t>Contrainte de la fiche CEE RES-EC-104.</w:t>
            </w:r>
          </w:p>
        </w:tc>
      </w:tr>
      <w:tr w:rsidR="00412A45" w:rsidTr="0047249C">
        <w:tc>
          <w:tcPr>
            <w:tcW w:w="1985" w:type="dxa"/>
          </w:tcPr>
          <w:p w:rsidR="00412A45" w:rsidRPr="007F40A5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7F40A5">
              <w:rPr>
                <w:rFonts w:ascii="Arial" w:hAnsi="Arial" w:cs="Arial"/>
                <w:bCs/>
                <w:sz w:val="20"/>
                <w:szCs w:val="20"/>
              </w:rPr>
              <w:t>Protections aux surtensions</w:t>
            </w:r>
          </w:p>
        </w:tc>
        <w:tc>
          <w:tcPr>
            <w:tcW w:w="4139" w:type="dxa"/>
          </w:tcPr>
          <w:p w:rsidR="00412A45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7F40A5">
              <w:rPr>
                <w:rFonts w:ascii="Arial" w:hAnsi="Arial" w:cs="Arial"/>
                <w:sz w:val="20"/>
                <w:szCs w:val="20"/>
              </w:rPr>
              <w:t>Installation d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7F40A5">
              <w:rPr>
                <w:rFonts w:ascii="Arial" w:hAnsi="Arial" w:cs="Arial"/>
                <w:sz w:val="20"/>
                <w:szCs w:val="20"/>
              </w:rPr>
              <w:t xml:space="preserve">un </w:t>
            </w:r>
            <w:r w:rsidRPr="007F40A5">
              <w:rPr>
                <w:rFonts w:ascii="Arial" w:hAnsi="Arial" w:cs="Arial"/>
                <w:bCs/>
                <w:sz w:val="20"/>
                <w:szCs w:val="20"/>
              </w:rPr>
              <w:t xml:space="preserve">para </w:t>
            </w:r>
            <w:proofErr w:type="spellStart"/>
            <w:r w:rsidRPr="007F40A5">
              <w:rPr>
                <w:rFonts w:ascii="Arial" w:hAnsi="Arial" w:cs="Arial"/>
                <w:bCs/>
                <w:sz w:val="20"/>
                <w:szCs w:val="20"/>
              </w:rPr>
              <w:t>surtenseur</w:t>
            </w:r>
            <w:proofErr w:type="spellEnd"/>
            <w:r w:rsidRPr="007F40A5">
              <w:rPr>
                <w:rFonts w:ascii="Arial" w:hAnsi="Arial" w:cs="Arial"/>
                <w:bCs/>
                <w:sz w:val="20"/>
                <w:szCs w:val="20"/>
              </w:rPr>
              <w:t xml:space="preserve"> ou para foudre</w:t>
            </w:r>
            <w:r w:rsidRPr="00F53D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9D39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6K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</w:t>
            </w:r>
            <w:r w:rsidRPr="009D391C">
              <w:rPr>
                <w:rFonts w:ascii="Arial" w:hAnsi="Arial" w:cs="Arial"/>
                <w:color w:val="000000" w:themeColor="text1"/>
                <w:sz w:val="20"/>
                <w:szCs w:val="20"/>
              </w:rPr>
              <w:t> au</w:t>
            </w:r>
            <w:r w:rsidRPr="007F40A5">
              <w:rPr>
                <w:rFonts w:ascii="Arial" w:hAnsi="Arial" w:cs="Arial"/>
                <w:sz w:val="20"/>
                <w:szCs w:val="20"/>
              </w:rPr>
              <w:t xml:space="preserve"> candélabre</w:t>
            </w:r>
          </w:p>
          <w:p w:rsidR="00412A45" w:rsidRPr="007F40A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412A45" w:rsidRPr="007F40A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Nécessaire à la protection des composants électronique en cas de surtension atmosphérique (foudre) ou de manœuvre</w:t>
            </w:r>
          </w:p>
        </w:tc>
      </w:tr>
      <w:tr w:rsidR="00412A45" w:rsidTr="0047249C">
        <w:tc>
          <w:tcPr>
            <w:tcW w:w="1985" w:type="dxa"/>
          </w:tcPr>
          <w:p w:rsidR="00412A45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Indice de Protection – IP [%]</w:t>
            </w:r>
          </w:p>
          <w:p w:rsidR="00412A45" w:rsidRPr="007F40A5" w:rsidRDefault="00412A45" w:rsidP="0047249C">
            <w:p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:rsidR="00412A45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7F40A5">
              <w:rPr>
                <w:rFonts w:ascii="Arial" w:hAnsi="Arial" w:cs="Arial"/>
                <w:sz w:val="20"/>
                <w:szCs w:val="20"/>
              </w:rPr>
              <w:t xml:space="preserve">65 </w:t>
            </w:r>
            <w:r>
              <w:rPr>
                <w:rFonts w:ascii="Arial" w:hAnsi="Arial" w:cs="Arial"/>
                <w:sz w:val="20"/>
                <w:szCs w:val="20"/>
              </w:rPr>
              <w:t>ou supérieur</w:t>
            </w:r>
          </w:p>
          <w:p w:rsidR="00412A45" w:rsidRPr="007F40A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412A45" w:rsidRPr="007F40A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Contrainte de la fiche CEE RES-EC-104.</w:t>
            </w:r>
          </w:p>
        </w:tc>
      </w:tr>
      <w:tr w:rsidR="00412A45" w:rsidTr="0047249C">
        <w:tc>
          <w:tcPr>
            <w:tcW w:w="1985" w:type="dxa"/>
          </w:tcPr>
          <w:p w:rsidR="00412A45" w:rsidRPr="00B82B7B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B82B7B">
              <w:rPr>
                <w:rFonts w:ascii="Arial" w:hAnsi="Arial" w:cs="Arial"/>
                <w:bCs/>
                <w:sz w:val="20"/>
                <w:szCs w:val="20"/>
              </w:rPr>
              <w:t>Tenue à la corrosion </w:t>
            </w:r>
          </w:p>
          <w:p w:rsidR="00412A45" w:rsidRPr="007F40A5" w:rsidRDefault="00412A45" w:rsidP="0047249C">
            <w:pPr>
              <w:pStyle w:val="Paragraphedeliste"/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:rsidR="00412A45" w:rsidRPr="007F40A5" w:rsidRDefault="00412A45" w:rsidP="00DE1FD2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249C">
              <w:rPr>
                <w:rFonts w:ascii="Arial" w:hAnsi="Arial" w:cs="Arial"/>
                <w:i/>
                <w:sz w:val="20"/>
                <w:szCs w:val="20"/>
              </w:rPr>
              <w:t>Pour les luminaires installés en bord de mer :</w:t>
            </w:r>
            <w:r w:rsidRPr="00B82B7B">
              <w:rPr>
                <w:rFonts w:ascii="Arial" w:hAnsi="Arial" w:cs="Arial"/>
                <w:sz w:val="20"/>
                <w:szCs w:val="20"/>
              </w:rPr>
              <w:t xml:space="preserve"> Tenu à la corrosion pour des atmosphères marines</w:t>
            </w:r>
          </w:p>
        </w:tc>
        <w:tc>
          <w:tcPr>
            <w:tcW w:w="4111" w:type="dxa"/>
          </w:tcPr>
          <w:p w:rsidR="00412A45" w:rsidRPr="007F40A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A45" w:rsidTr="0047249C">
        <w:tc>
          <w:tcPr>
            <w:tcW w:w="1985" w:type="dxa"/>
          </w:tcPr>
          <w:p w:rsidR="00412A45" w:rsidRPr="008639BC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8639BC">
              <w:rPr>
                <w:rFonts w:ascii="Arial" w:hAnsi="Arial" w:cs="Arial"/>
                <w:bCs/>
                <w:sz w:val="20"/>
                <w:szCs w:val="20"/>
              </w:rPr>
              <w:t>Risques photo-biologiques</w:t>
            </w:r>
          </w:p>
        </w:tc>
        <w:tc>
          <w:tcPr>
            <w:tcW w:w="4139" w:type="dxa"/>
          </w:tcPr>
          <w:p w:rsidR="00412A45" w:rsidRPr="0047249C" w:rsidRDefault="00412A45" w:rsidP="003E6A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249C">
              <w:rPr>
                <w:rFonts w:ascii="Arial" w:hAnsi="Arial" w:cs="Arial"/>
                <w:sz w:val="20"/>
                <w:szCs w:val="20"/>
              </w:rPr>
              <w:t>GR0 - groupe de risque 0 : pas de risque quel que soit le temps d’observation de la source</w:t>
            </w:r>
          </w:p>
          <w:p w:rsidR="00412A45" w:rsidRPr="0047249C" w:rsidRDefault="00412A45" w:rsidP="003E6A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249C">
              <w:rPr>
                <w:rFonts w:ascii="Arial" w:hAnsi="Arial" w:cs="Arial"/>
                <w:sz w:val="20"/>
                <w:szCs w:val="20"/>
              </w:rPr>
              <w:t>Selon la Norme Risques photo-biologiques NF62471</w:t>
            </w:r>
          </w:p>
          <w:p w:rsidR="00412A45" w:rsidRPr="008639BC" w:rsidRDefault="00412A45" w:rsidP="008639BC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412A45" w:rsidRPr="008639BC" w:rsidRDefault="00412A45" w:rsidP="00EB23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249C">
              <w:rPr>
                <w:rFonts w:ascii="Arial" w:hAnsi="Arial" w:cs="Arial"/>
                <w:sz w:val="20"/>
                <w:szCs w:val="20"/>
              </w:rPr>
              <w:t>La norme NF62471 définit quatre groupes de dangerosité pour les sources de rayonnements optiques liés à la durée d’exposition maximale admissible de l’œil à la lumière </w:t>
            </w:r>
          </w:p>
        </w:tc>
      </w:tr>
      <w:tr w:rsidR="00412A45" w:rsidTr="0047249C">
        <w:tc>
          <w:tcPr>
            <w:tcW w:w="1985" w:type="dxa"/>
          </w:tcPr>
          <w:p w:rsidR="00412A45" w:rsidRPr="008639BC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54" w:right="133" w:hanging="42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Communication / Contrôle </w:t>
            </w:r>
          </w:p>
        </w:tc>
        <w:tc>
          <w:tcPr>
            <w:tcW w:w="4139" w:type="dxa"/>
          </w:tcPr>
          <w:p w:rsidR="00412A45" w:rsidRDefault="00412A4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Dispositifs de communication et contrôle ouverts ou prévoyant des passerelles pour interface et compatibilité avec dispositifs et logiciels tiers</w:t>
            </w:r>
          </w:p>
          <w:p w:rsidR="00412A45" w:rsidRPr="0047249C" w:rsidRDefault="00412A45">
            <w:pPr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</w:rPr>
            </w:pPr>
            <w:r w:rsidRPr="0047249C">
              <w:rPr>
                <w:rFonts w:ascii="Arial" w:hAnsi="Arial" w:cs="Arial"/>
                <w:i/>
                <w:sz w:val="20"/>
                <w:szCs w:val="20"/>
              </w:rPr>
              <w:t>Recommandé</w:t>
            </w:r>
          </w:p>
          <w:p w:rsidR="00412A45" w:rsidRPr="00376741" w:rsidRDefault="00412A4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412A45" w:rsidRPr="008639BC" w:rsidRDefault="00412A45" w:rsidP="00EB23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A45" w:rsidRDefault="00412A4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F960FE" w:rsidRPr="009C65B7" w:rsidRDefault="008C2A8E" w:rsidP="009C65B7">
      <w:pPr>
        <w:pStyle w:val="Titre1"/>
        <w:spacing w:after="120"/>
        <w:ind w:left="431" w:hanging="431"/>
      </w:pPr>
      <w:bookmarkStart w:id="11" w:name="_Toc505675817"/>
      <w:r w:rsidRPr="009C65B7">
        <w:lastRenderedPageBreak/>
        <w:t xml:space="preserve">Contraintes techniques </w:t>
      </w:r>
      <w:r w:rsidR="00857962" w:rsidRPr="009C65B7">
        <w:t>pour</w:t>
      </w:r>
      <w:r w:rsidRPr="009C65B7">
        <w:t xml:space="preserve"> </w:t>
      </w:r>
      <w:r w:rsidR="00857962" w:rsidRPr="009C65B7">
        <w:t>l</w:t>
      </w:r>
      <w:r w:rsidRPr="009C65B7">
        <w:t>es armoires</w:t>
      </w:r>
      <w:bookmarkEnd w:id="11"/>
    </w:p>
    <w:tbl>
      <w:tblPr>
        <w:tblStyle w:val="TboMRS"/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402"/>
        <w:gridCol w:w="3685"/>
      </w:tblGrid>
      <w:tr w:rsidR="00412A45" w:rsidTr="0047249C">
        <w:tc>
          <w:tcPr>
            <w:tcW w:w="3148" w:type="dxa"/>
            <w:vAlign w:val="top"/>
          </w:tcPr>
          <w:p w:rsidR="00412A45" w:rsidRDefault="00412A45" w:rsidP="00857962">
            <w:pPr>
              <w:spacing w:before="120" w:after="120"/>
              <w:ind w:left="318" w:right="133" w:hanging="284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Critère</w:t>
            </w:r>
          </w:p>
        </w:tc>
        <w:tc>
          <w:tcPr>
            <w:tcW w:w="3402" w:type="dxa"/>
            <w:vAlign w:val="top"/>
          </w:tcPr>
          <w:p w:rsidR="00412A45" w:rsidRDefault="00412A45" w:rsidP="00857962">
            <w:pPr>
              <w:spacing w:before="120" w:after="120"/>
              <w:ind w:left="34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Valeur exigée</w:t>
            </w:r>
          </w:p>
        </w:tc>
        <w:tc>
          <w:tcPr>
            <w:tcW w:w="3685" w:type="dxa"/>
            <w:vAlign w:val="top"/>
          </w:tcPr>
          <w:p w:rsidR="00412A45" w:rsidRDefault="00412A45" w:rsidP="00857962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Explication</w:t>
            </w:r>
          </w:p>
        </w:tc>
      </w:tr>
      <w:tr w:rsidR="00412A45" w:rsidTr="0047249C">
        <w:trPr>
          <w:cantSplit/>
        </w:trPr>
        <w:tc>
          <w:tcPr>
            <w:tcW w:w="3148" w:type="dxa"/>
            <w:vAlign w:val="top"/>
          </w:tcPr>
          <w:p w:rsidR="00412A45" w:rsidRPr="00857962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88" w:right="133" w:hanging="488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>Protection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Classe I ou Classe II en fonction du réseau électrique locale </w:t>
            </w:r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402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 w:rsidRPr="00857962">
              <w:rPr>
                <w:rFonts w:ascii="Arial" w:hAnsi="Arial" w:cs="Arial"/>
                <w:bCs/>
                <w:sz w:val="20"/>
              </w:rPr>
              <w:t>Selon les normes existantes</w:t>
            </w:r>
          </w:p>
        </w:tc>
        <w:tc>
          <w:tcPr>
            <w:tcW w:w="3685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Normes de sécurité, protection et durée de vie des installations</w:t>
            </w:r>
          </w:p>
        </w:tc>
      </w:tr>
      <w:tr w:rsidR="00412A45" w:rsidTr="0047249C">
        <w:trPr>
          <w:cantSplit/>
        </w:trPr>
        <w:tc>
          <w:tcPr>
            <w:tcW w:w="3148" w:type="dxa"/>
            <w:vAlign w:val="top"/>
          </w:tcPr>
          <w:p w:rsidR="00412A45" w:rsidRPr="00857962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88" w:right="133" w:hanging="488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>Protections différentielles contre les contacts indirects</w:t>
            </w:r>
          </w:p>
        </w:tc>
        <w:tc>
          <w:tcPr>
            <w:tcW w:w="3402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 w:rsidRPr="00857962">
              <w:rPr>
                <w:rFonts w:ascii="Arial" w:hAnsi="Arial" w:cs="Arial"/>
                <w:bCs/>
                <w:sz w:val="20"/>
              </w:rPr>
              <w:t>Selon les normes existantes</w:t>
            </w:r>
          </w:p>
        </w:tc>
        <w:tc>
          <w:tcPr>
            <w:tcW w:w="3685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Normes de sécurité, protection et durée de vie des installations</w:t>
            </w:r>
          </w:p>
        </w:tc>
      </w:tr>
      <w:tr w:rsidR="00412A45" w:rsidTr="0047249C">
        <w:trPr>
          <w:cantSplit/>
        </w:trPr>
        <w:tc>
          <w:tcPr>
            <w:tcW w:w="3148" w:type="dxa"/>
            <w:vAlign w:val="top"/>
          </w:tcPr>
          <w:p w:rsidR="00412A45" w:rsidRPr="00857962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88" w:right="133" w:hanging="488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Interrupteur frontière </w:t>
            </w:r>
            <w:proofErr w:type="spellStart"/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>cadenassable</w:t>
            </w:r>
            <w:proofErr w:type="spellEnd"/>
          </w:p>
        </w:tc>
        <w:tc>
          <w:tcPr>
            <w:tcW w:w="3402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 w:rsidRPr="00857962">
              <w:rPr>
                <w:rFonts w:ascii="Arial" w:hAnsi="Arial" w:cs="Arial"/>
                <w:bCs/>
                <w:sz w:val="20"/>
              </w:rPr>
              <w:t>Selon les normes existantes</w:t>
            </w:r>
          </w:p>
        </w:tc>
        <w:tc>
          <w:tcPr>
            <w:tcW w:w="3685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Normes de sécurité, protection et durée de vie des installations</w:t>
            </w:r>
          </w:p>
        </w:tc>
      </w:tr>
      <w:tr w:rsidR="00412A45" w:rsidTr="0047249C">
        <w:trPr>
          <w:cantSplit/>
        </w:trPr>
        <w:tc>
          <w:tcPr>
            <w:tcW w:w="3148" w:type="dxa"/>
            <w:vAlign w:val="top"/>
          </w:tcPr>
          <w:p w:rsidR="00412A45" w:rsidRPr="00857962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88" w:right="133" w:hanging="488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Protections contre les sur</w:t>
            </w:r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>intensité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s</w:t>
            </w:r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/ Pic de puissance </w:t>
            </w:r>
          </w:p>
        </w:tc>
        <w:tc>
          <w:tcPr>
            <w:tcW w:w="3402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 w:rsidRPr="00857962">
              <w:rPr>
                <w:rFonts w:ascii="Arial" w:hAnsi="Arial" w:cs="Arial"/>
                <w:bCs/>
                <w:sz w:val="20"/>
              </w:rPr>
              <w:t xml:space="preserve">Installation de disjoncteurs "COURBE </w:t>
            </w:r>
            <w:r>
              <w:rPr>
                <w:rFonts w:ascii="Arial" w:hAnsi="Arial" w:cs="Arial"/>
                <w:bCs/>
                <w:sz w:val="20"/>
              </w:rPr>
              <w:t>B</w:t>
            </w:r>
            <w:r w:rsidRPr="00857962">
              <w:rPr>
                <w:rFonts w:ascii="Arial" w:hAnsi="Arial" w:cs="Arial"/>
                <w:bCs/>
                <w:sz w:val="20"/>
              </w:rPr>
              <w:t xml:space="preserve">"  </w:t>
            </w:r>
          </w:p>
          <w:p w:rsidR="00412A45" w:rsidRPr="00857962" w:rsidRDefault="00412A45" w:rsidP="00D71BBC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 w:rsidRPr="00857962">
              <w:rPr>
                <w:rFonts w:ascii="Arial" w:hAnsi="Arial" w:cs="Arial"/>
                <w:bCs/>
                <w:sz w:val="20"/>
              </w:rPr>
              <w:br/>
            </w:r>
          </w:p>
        </w:tc>
        <w:tc>
          <w:tcPr>
            <w:tcW w:w="3685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Normes de sécurité, protection et durée de vie des installations</w:t>
            </w:r>
          </w:p>
        </w:tc>
      </w:tr>
      <w:tr w:rsidR="00412A45" w:rsidTr="0047249C">
        <w:trPr>
          <w:cantSplit/>
        </w:trPr>
        <w:tc>
          <w:tcPr>
            <w:tcW w:w="3148" w:type="dxa"/>
            <w:vAlign w:val="top"/>
          </w:tcPr>
          <w:p w:rsidR="00412A45" w:rsidRPr="00857962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88" w:right="133" w:hanging="488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>Protections aux surtensions</w:t>
            </w:r>
          </w:p>
        </w:tc>
        <w:tc>
          <w:tcPr>
            <w:tcW w:w="3402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  <w:r w:rsidRPr="00857962">
              <w:rPr>
                <w:rFonts w:ascii="Arial" w:hAnsi="Arial" w:cs="Arial"/>
                <w:bCs/>
                <w:sz w:val="20"/>
              </w:rPr>
              <w:t>Installation d'un parafoudre en tête d’armoire</w:t>
            </w:r>
          </w:p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85" w:type="dxa"/>
            <w:vAlign w:val="top"/>
          </w:tcPr>
          <w:p w:rsidR="00412A45" w:rsidRPr="00857962" w:rsidRDefault="00412A45" w:rsidP="00857962">
            <w:pPr>
              <w:spacing w:before="120" w:after="120"/>
              <w:ind w:left="34" w:right="133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Normes de sécurité, protection et durée de vie des installations</w:t>
            </w:r>
          </w:p>
        </w:tc>
      </w:tr>
      <w:tr w:rsidR="00412A45" w:rsidTr="0047249C">
        <w:trPr>
          <w:cantSplit/>
        </w:trPr>
        <w:tc>
          <w:tcPr>
            <w:tcW w:w="3148" w:type="dxa"/>
            <w:vAlign w:val="top"/>
          </w:tcPr>
          <w:p w:rsidR="00412A45" w:rsidRPr="007F40A5" w:rsidRDefault="00412A45" w:rsidP="0047249C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88" w:right="133" w:hanging="488"/>
              <w:rPr>
                <w:rFonts w:ascii="Arial" w:hAnsi="Arial" w:cs="Arial"/>
                <w:bCs/>
                <w:sz w:val="20"/>
              </w:rPr>
            </w:pPr>
            <w:r w:rsidRPr="00857962">
              <w:rPr>
                <w:rFonts w:ascii="Arial" w:eastAsiaTheme="minorHAnsi" w:hAnsi="Arial" w:cs="Arial"/>
                <w:bCs/>
                <w:sz w:val="20"/>
                <w:lang w:eastAsia="en-US"/>
              </w:rPr>
              <w:t>Horloge astronomique</w:t>
            </w:r>
          </w:p>
        </w:tc>
        <w:tc>
          <w:tcPr>
            <w:tcW w:w="3402" w:type="dxa"/>
            <w:vAlign w:val="top"/>
          </w:tcPr>
          <w:p w:rsidR="00412A45" w:rsidRDefault="00412A45" w:rsidP="00857962">
            <w:pPr>
              <w:spacing w:before="120" w:after="120"/>
              <w:ind w:lef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Mise en place d’horloges astronomiques </w:t>
            </w:r>
            <w:r w:rsidRPr="00EB23CD">
              <w:rPr>
                <w:rFonts w:ascii="Arial" w:hAnsi="Arial" w:cs="Arial"/>
                <w:sz w:val="20"/>
              </w:rPr>
              <w:t>radio synchronisées </w:t>
            </w:r>
            <w:r>
              <w:rPr>
                <w:rFonts w:ascii="Arial" w:hAnsi="Arial" w:cs="Arial"/>
                <w:sz w:val="20"/>
              </w:rPr>
              <w:t>avec GPS</w:t>
            </w:r>
          </w:p>
          <w:p w:rsidR="00412A45" w:rsidRPr="0047249C" w:rsidRDefault="00412A45" w:rsidP="00412A45">
            <w:pPr>
              <w:spacing w:before="120" w:after="120"/>
              <w:ind w:left="34"/>
              <w:rPr>
                <w:rFonts w:ascii="Arial" w:hAnsi="Arial" w:cs="Arial"/>
                <w:i/>
                <w:sz w:val="20"/>
              </w:rPr>
            </w:pPr>
            <w:r w:rsidRPr="0047249C">
              <w:rPr>
                <w:rFonts w:ascii="Arial" w:hAnsi="Arial" w:cs="Arial"/>
                <w:i/>
                <w:sz w:val="20"/>
              </w:rPr>
              <w:t>Optionnel si &lt;200 points lumineux</w:t>
            </w:r>
          </w:p>
          <w:p w:rsidR="00412A45" w:rsidRPr="007F40A5" w:rsidRDefault="00412A45" w:rsidP="00857962">
            <w:pPr>
              <w:spacing w:before="120" w:after="120"/>
              <w:ind w:left="34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vAlign w:val="top"/>
          </w:tcPr>
          <w:p w:rsidR="00412A45" w:rsidRDefault="00412A45" w:rsidP="0085796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Les horloges astronomiques  permettent d’augmenter la performance énergétique </w:t>
            </w:r>
          </w:p>
          <w:p w:rsidR="00412A45" w:rsidRDefault="00412A45" w:rsidP="00857962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Contrainte de la fiche CEE RES-EC-107</w:t>
            </w:r>
          </w:p>
        </w:tc>
      </w:tr>
      <w:tr w:rsidR="00412A45" w:rsidTr="0047249C">
        <w:trPr>
          <w:cantSplit/>
        </w:trPr>
        <w:tc>
          <w:tcPr>
            <w:tcW w:w="3148" w:type="dxa"/>
            <w:vAlign w:val="top"/>
          </w:tcPr>
          <w:p w:rsidR="00CB2362" w:rsidRDefault="00412A45" w:rsidP="00CB2362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488" w:right="133" w:hanging="488"/>
              <w:rPr>
                <w:rFonts w:ascii="Arial" w:hAnsi="Arial" w:cs="Arial"/>
                <w:bCs/>
                <w:sz w:val="20"/>
              </w:rPr>
            </w:pPr>
            <w:r w:rsidRPr="007F40A5">
              <w:rPr>
                <w:rFonts w:ascii="Arial" w:hAnsi="Arial" w:cs="Arial"/>
                <w:bCs/>
                <w:sz w:val="20"/>
              </w:rPr>
              <w:t>Gestion des heures creuses / Variation de puissance</w:t>
            </w:r>
          </w:p>
          <w:p w:rsidR="00CB2362" w:rsidRDefault="00CB2362" w:rsidP="00CB2362"/>
          <w:p w:rsidR="00CB2362" w:rsidRDefault="00CB2362" w:rsidP="00CB2362"/>
          <w:p w:rsidR="00412A45" w:rsidRPr="0047249C" w:rsidRDefault="00412A45" w:rsidP="0047249C">
            <w:pPr>
              <w:jc w:val="center"/>
            </w:pPr>
          </w:p>
        </w:tc>
        <w:tc>
          <w:tcPr>
            <w:tcW w:w="3402" w:type="dxa"/>
            <w:vAlign w:val="top"/>
          </w:tcPr>
          <w:p w:rsidR="00412A45" w:rsidRDefault="00412A45" w:rsidP="00EB23CD">
            <w:pPr>
              <w:spacing w:before="120" w:after="120"/>
              <w:ind w:lef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Luminaire</w:t>
            </w:r>
            <w:r w:rsidRPr="007F40A5">
              <w:rPr>
                <w:rFonts w:ascii="Arial" w:hAnsi="Arial" w:cs="Arial"/>
                <w:sz w:val="20"/>
              </w:rPr>
              <w:t xml:space="preserve"> avec</w:t>
            </w:r>
            <w:r w:rsidRPr="007F40A5">
              <w:rPr>
                <w:rFonts w:ascii="Arial" w:hAnsi="Arial" w:cs="Arial"/>
                <w:bCs/>
                <w:sz w:val="20"/>
              </w:rPr>
              <w:t xml:space="preserve"> abaissement de puissance ou  Bi puissance </w:t>
            </w:r>
            <w:r w:rsidRPr="007F40A5">
              <w:rPr>
                <w:rFonts w:ascii="Arial" w:hAnsi="Arial" w:cs="Arial"/>
                <w:sz w:val="20"/>
              </w:rPr>
              <w:t>ou détection de présence pour les heures creuses du trafic</w:t>
            </w:r>
            <w:r>
              <w:rPr>
                <w:rFonts w:ascii="Arial" w:hAnsi="Arial" w:cs="Arial"/>
                <w:sz w:val="20"/>
              </w:rPr>
              <w:t xml:space="preserve"> en milieu de nuit</w:t>
            </w:r>
          </w:p>
          <w:p w:rsidR="00412A45" w:rsidRPr="0047249C" w:rsidRDefault="00412A45" w:rsidP="00EB23CD">
            <w:pPr>
              <w:spacing w:before="120" w:after="120"/>
              <w:ind w:left="34"/>
              <w:rPr>
                <w:rFonts w:ascii="Arial" w:hAnsi="Arial" w:cs="Arial"/>
                <w:i/>
                <w:sz w:val="20"/>
              </w:rPr>
            </w:pPr>
            <w:r w:rsidRPr="0047249C">
              <w:rPr>
                <w:rFonts w:ascii="Arial" w:hAnsi="Arial" w:cs="Arial"/>
                <w:i/>
                <w:sz w:val="20"/>
              </w:rPr>
              <w:t>Optionnel si &lt;200 points lumineux</w:t>
            </w:r>
          </w:p>
          <w:p w:rsidR="00412A45" w:rsidRPr="007F40A5" w:rsidRDefault="00412A45" w:rsidP="00EB23CD">
            <w:pPr>
              <w:spacing w:before="120" w:after="120"/>
              <w:ind w:left="34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85" w:type="dxa"/>
            <w:vAlign w:val="top"/>
          </w:tcPr>
          <w:p w:rsidR="00412A4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 limitation de puissance aux heures creuses permet d’augmenter la performance énergétique d’environ 40%</w:t>
            </w:r>
          </w:p>
          <w:p w:rsidR="00412A45" w:rsidRPr="007F40A5" w:rsidRDefault="00412A45" w:rsidP="00EB23CD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Contrainte de la fiche CEE RES-EC-103</w:t>
            </w:r>
          </w:p>
        </w:tc>
      </w:tr>
    </w:tbl>
    <w:p w:rsidR="008C2A8E" w:rsidRDefault="008C2A8E" w:rsidP="00A25B49">
      <w:pPr>
        <w:ind w:left="66"/>
        <w:jc w:val="both"/>
        <w:rPr>
          <w:rFonts w:ascii="Arial" w:hAnsi="Arial" w:cs="Arial"/>
          <w:sz w:val="20"/>
          <w:szCs w:val="20"/>
        </w:rPr>
      </w:pPr>
    </w:p>
    <w:p w:rsidR="00B0210C" w:rsidRDefault="00B0210C" w:rsidP="00B0210C">
      <w:pPr>
        <w:jc w:val="both"/>
      </w:pPr>
    </w:p>
    <w:p w:rsidR="0039710C" w:rsidRPr="0047249C" w:rsidRDefault="0039710C" w:rsidP="004724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39710C" w:rsidRPr="0047249C" w:rsidSect="0047249C">
      <w:headerReference w:type="default" r:id="rId13"/>
      <w:footerReference w:type="default" r:id="rId14"/>
      <w:pgSz w:w="11906" w:h="16838"/>
      <w:pgMar w:top="720" w:right="720" w:bottom="720" w:left="720" w:header="708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FA" w:rsidRDefault="007711FA" w:rsidP="00EB23CD">
      <w:pPr>
        <w:spacing w:after="0" w:line="240" w:lineRule="auto"/>
      </w:pPr>
      <w:r>
        <w:separator/>
      </w:r>
    </w:p>
  </w:endnote>
  <w:endnote w:type="continuationSeparator" w:id="0">
    <w:p w:rsidR="007711FA" w:rsidRDefault="007711FA" w:rsidP="00EB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ight">
    <w:altName w:val="Eras Light ITC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738157"/>
      <w:docPartObj>
        <w:docPartGallery w:val="Page Numbers (Bottom of Page)"/>
        <w:docPartUnique/>
      </w:docPartObj>
    </w:sdtPr>
    <w:sdtEndPr/>
    <w:sdtContent>
      <w:p w:rsidR="00742F50" w:rsidRDefault="00A814C5">
        <w:pPr>
          <w:pStyle w:val="Pieddepage"/>
          <w:jc w:val="right"/>
        </w:pPr>
        <w:r>
          <w:fldChar w:fldCharType="begin"/>
        </w:r>
        <w:r w:rsidR="00742F50">
          <w:instrText>PAGE   \* MERGEFORMAT</w:instrText>
        </w:r>
        <w:r>
          <w:fldChar w:fldCharType="separate"/>
        </w:r>
        <w:r w:rsidR="00BA7265">
          <w:rPr>
            <w:noProof/>
          </w:rPr>
          <w:t>1</w:t>
        </w:r>
        <w:r>
          <w:fldChar w:fldCharType="end"/>
        </w:r>
      </w:p>
    </w:sdtContent>
  </w:sdt>
  <w:p w:rsidR="00CB3197" w:rsidRDefault="00CB319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FA" w:rsidRDefault="007711FA" w:rsidP="00EB23CD">
      <w:pPr>
        <w:spacing w:after="0" w:line="240" w:lineRule="auto"/>
      </w:pPr>
      <w:r>
        <w:separator/>
      </w:r>
    </w:p>
  </w:footnote>
  <w:footnote w:type="continuationSeparator" w:id="0">
    <w:p w:rsidR="007711FA" w:rsidRDefault="007711FA" w:rsidP="00EB23CD">
      <w:pPr>
        <w:spacing w:after="0" w:line="240" w:lineRule="auto"/>
      </w:pPr>
      <w:r>
        <w:continuationSeparator/>
      </w:r>
    </w:p>
  </w:footnote>
  <w:footnote w:id="1">
    <w:p w:rsidR="002A1D95" w:rsidRDefault="002A1D9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 w:rsidRPr="009E2224">
        <w:rPr>
          <w:rFonts w:ascii="Arial" w:hAnsi="Arial" w:cs="Arial"/>
          <w:sz w:val="18"/>
        </w:rPr>
        <w:t>les</w:t>
      </w:r>
      <w:proofErr w:type="gramEnd"/>
      <w:r w:rsidRPr="009E2224">
        <w:rPr>
          <w:rFonts w:ascii="Arial" w:hAnsi="Arial" w:cs="Arial"/>
          <w:sz w:val="18"/>
        </w:rPr>
        <w:t xml:space="preserve"> cas de résorption d’installations présentant des défaillances de conception, avec notamment un éclairement insuffisant, seront traités de manière dérogatoire à cette condition et feront l’objet d’une instruction spécifique</w:t>
      </w:r>
    </w:p>
  </w:footnote>
  <w:footnote w:id="2">
    <w:p w:rsidR="00412A45" w:rsidRDefault="00412A45" w:rsidP="00CB319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7249C">
        <w:rPr>
          <w:rFonts w:ascii="Arial" w:hAnsi="Arial" w:cs="Arial"/>
          <w:sz w:val="18"/>
        </w:rPr>
        <w:t>Calcul par extrapolation après test de max 6000 heures.</w:t>
      </w:r>
    </w:p>
  </w:footnote>
  <w:footnote w:id="3">
    <w:p w:rsidR="00412A45" w:rsidRDefault="00412A45" w:rsidP="00CB3197">
      <w:pPr>
        <w:pStyle w:val="Notedebasdepage"/>
      </w:pPr>
      <w:r>
        <w:rPr>
          <w:rStyle w:val="Appelnotedebasdep"/>
        </w:rPr>
        <w:footnoteRef/>
      </w:r>
      <w:r>
        <w:t xml:space="preserve"> Calcul par extrapolation après test de max 6000 heures.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50" w:rsidRDefault="00742F50" w:rsidP="0047249C">
    <w:pPr>
      <w:pStyle w:val="En-tte"/>
      <w:jc w:val="right"/>
    </w:pPr>
    <w:r>
      <w:t>v. février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4CA788"/>
    <w:lvl w:ilvl="0">
      <w:start w:val="1"/>
      <w:numFmt w:val="bullet"/>
      <w:pStyle w:val="Listepuces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color w:val="94877A"/>
        <w:sz w:val="16"/>
      </w:rPr>
    </w:lvl>
  </w:abstractNum>
  <w:abstractNum w:abstractNumId="1">
    <w:nsid w:val="04945EBE"/>
    <w:multiLevelType w:val="hybridMultilevel"/>
    <w:tmpl w:val="B11AC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04765"/>
    <w:multiLevelType w:val="hybridMultilevel"/>
    <w:tmpl w:val="73169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6788C"/>
    <w:multiLevelType w:val="hybridMultilevel"/>
    <w:tmpl w:val="A9DCC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209D4"/>
    <w:multiLevelType w:val="hybridMultilevel"/>
    <w:tmpl w:val="30B282B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9CF18EB"/>
    <w:multiLevelType w:val="multilevel"/>
    <w:tmpl w:val="4F8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6483C"/>
    <w:multiLevelType w:val="hybridMultilevel"/>
    <w:tmpl w:val="871EE8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E1EA7"/>
    <w:multiLevelType w:val="hybridMultilevel"/>
    <w:tmpl w:val="350C8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149E2"/>
    <w:multiLevelType w:val="hybridMultilevel"/>
    <w:tmpl w:val="2DCE7DE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076D5"/>
    <w:multiLevelType w:val="hybridMultilevel"/>
    <w:tmpl w:val="3CF29AA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57AE65EC"/>
    <w:multiLevelType w:val="hybridMultilevel"/>
    <w:tmpl w:val="D5781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019AF"/>
    <w:multiLevelType w:val="hybridMultilevel"/>
    <w:tmpl w:val="08F4B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22C0F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>
    <w:nsid w:val="7FDA1FFA"/>
    <w:multiLevelType w:val="hybridMultilevel"/>
    <w:tmpl w:val="2DCE7DE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3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0"/>
  </w:num>
  <w:num w:numId="14">
    <w:abstractNumId w:val="9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49"/>
    <w:rsid w:val="00016869"/>
    <w:rsid w:val="00036248"/>
    <w:rsid w:val="00064016"/>
    <w:rsid w:val="00074B46"/>
    <w:rsid w:val="000940E9"/>
    <w:rsid w:val="000F3523"/>
    <w:rsid w:val="0015216D"/>
    <w:rsid w:val="00187E0B"/>
    <w:rsid w:val="00192D5B"/>
    <w:rsid w:val="0019781D"/>
    <w:rsid w:val="001D260A"/>
    <w:rsid w:val="00203A25"/>
    <w:rsid w:val="00210BE7"/>
    <w:rsid w:val="00271E79"/>
    <w:rsid w:val="0028233D"/>
    <w:rsid w:val="002A1D95"/>
    <w:rsid w:val="002A23DE"/>
    <w:rsid w:val="002B6EE7"/>
    <w:rsid w:val="002F0D2F"/>
    <w:rsid w:val="002F6F2E"/>
    <w:rsid w:val="002F736D"/>
    <w:rsid w:val="0032513D"/>
    <w:rsid w:val="00345DA1"/>
    <w:rsid w:val="00376741"/>
    <w:rsid w:val="0039710C"/>
    <w:rsid w:val="003A1186"/>
    <w:rsid w:val="003C3C2D"/>
    <w:rsid w:val="003D6ECF"/>
    <w:rsid w:val="003E6AC0"/>
    <w:rsid w:val="00412A45"/>
    <w:rsid w:val="00435B11"/>
    <w:rsid w:val="00456023"/>
    <w:rsid w:val="0047249C"/>
    <w:rsid w:val="004A671E"/>
    <w:rsid w:val="00567540"/>
    <w:rsid w:val="00581121"/>
    <w:rsid w:val="00582433"/>
    <w:rsid w:val="00582CA0"/>
    <w:rsid w:val="005A0FAE"/>
    <w:rsid w:val="005B0108"/>
    <w:rsid w:val="005D6910"/>
    <w:rsid w:val="005E1B9A"/>
    <w:rsid w:val="005F483C"/>
    <w:rsid w:val="00645148"/>
    <w:rsid w:val="00662239"/>
    <w:rsid w:val="006A4EE8"/>
    <w:rsid w:val="006A7B19"/>
    <w:rsid w:val="006B6F57"/>
    <w:rsid w:val="006B7979"/>
    <w:rsid w:val="007329EF"/>
    <w:rsid w:val="00742F50"/>
    <w:rsid w:val="007711FA"/>
    <w:rsid w:val="007F40A5"/>
    <w:rsid w:val="007F6306"/>
    <w:rsid w:val="007F6694"/>
    <w:rsid w:val="00857962"/>
    <w:rsid w:val="008639BC"/>
    <w:rsid w:val="008761B4"/>
    <w:rsid w:val="008C2A8E"/>
    <w:rsid w:val="008C34D2"/>
    <w:rsid w:val="008C652C"/>
    <w:rsid w:val="008E4A50"/>
    <w:rsid w:val="0090411E"/>
    <w:rsid w:val="00907325"/>
    <w:rsid w:val="00941EB4"/>
    <w:rsid w:val="0096691B"/>
    <w:rsid w:val="009771CF"/>
    <w:rsid w:val="009C65B7"/>
    <w:rsid w:val="009D391C"/>
    <w:rsid w:val="00A17D62"/>
    <w:rsid w:val="00A25B49"/>
    <w:rsid w:val="00A37485"/>
    <w:rsid w:val="00A40788"/>
    <w:rsid w:val="00A76034"/>
    <w:rsid w:val="00A814C5"/>
    <w:rsid w:val="00AE4C46"/>
    <w:rsid w:val="00B0210C"/>
    <w:rsid w:val="00B463B4"/>
    <w:rsid w:val="00B627DD"/>
    <w:rsid w:val="00B64CAC"/>
    <w:rsid w:val="00B8095B"/>
    <w:rsid w:val="00BA7265"/>
    <w:rsid w:val="00BB7A47"/>
    <w:rsid w:val="00BD5BCD"/>
    <w:rsid w:val="00BE3CB3"/>
    <w:rsid w:val="00C100F3"/>
    <w:rsid w:val="00C11764"/>
    <w:rsid w:val="00C27F1A"/>
    <w:rsid w:val="00C418A3"/>
    <w:rsid w:val="00C70936"/>
    <w:rsid w:val="00C71ADA"/>
    <w:rsid w:val="00C95BFA"/>
    <w:rsid w:val="00CA4255"/>
    <w:rsid w:val="00CB2362"/>
    <w:rsid w:val="00CB3197"/>
    <w:rsid w:val="00CC6E3B"/>
    <w:rsid w:val="00D04E57"/>
    <w:rsid w:val="00D051D8"/>
    <w:rsid w:val="00D10C7B"/>
    <w:rsid w:val="00D27374"/>
    <w:rsid w:val="00D5519E"/>
    <w:rsid w:val="00D71BBC"/>
    <w:rsid w:val="00D87C37"/>
    <w:rsid w:val="00DA140B"/>
    <w:rsid w:val="00DA7A47"/>
    <w:rsid w:val="00DB05AF"/>
    <w:rsid w:val="00DE1FD2"/>
    <w:rsid w:val="00E1646E"/>
    <w:rsid w:val="00E476A2"/>
    <w:rsid w:val="00E51A09"/>
    <w:rsid w:val="00E6727F"/>
    <w:rsid w:val="00E80B7D"/>
    <w:rsid w:val="00EA33C1"/>
    <w:rsid w:val="00EA3BC9"/>
    <w:rsid w:val="00EB23CD"/>
    <w:rsid w:val="00EC174D"/>
    <w:rsid w:val="00EE455E"/>
    <w:rsid w:val="00EE5161"/>
    <w:rsid w:val="00EF3547"/>
    <w:rsid w:val="00F25911"/>
    <w:rsid w:val="00F43C98"/>
    <w:rsid w:val="00F53DE7"/>
    <w:rsid w:val="00F960FE"/>
    <w:rsid w:val="00F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5B49"/>
    <w:pPr>
      <w:keepNext/>
      <w:keepLines/>
      <w:numPr>
        <w:numId w:val="9"/>
      </w:numPr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65B7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65B7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65B7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65B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65B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65B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65B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65B7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B4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25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8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fragment">
    <w:name w:val="Texte fragment"/>
    <w:basedOn w:val="Normal"/>
    <w:link w:val="TextefragmentCar"/>
    <w:rsid w:val="008C2A8E"/>
    <w:pPr>
      <w:spacing w:before="120" w:after="0" w:line="240" w:lineRule="auto"/>
      <w:ind w:left="57" w:right="-57"/>
    </w:pPr>
    <w:rPr>
      <w:rFonts w:ascii="Frutiger Light" w:eastAsia="Times New Roman" w:hAnsi="Frutiger Light" w:cs="Times New Roman"/>
      <w:sz w:val="20"/>
      <w:szCs w:val="20"/>
    </w:rPr>
  </w:style>
  <w:style w:type="character" w:customStyle="1" w:styleId="TextefragmentCar">
    <w:name w:val="Texte fragment Car"/>
    <w:basedOn w:val="Policepardfaut"/>
    <w:link w:val="Textefragment"/>
    <w:rsid w:val="008C2A8E"/>
    <w:rPr>
      <w:rFonts w:ascii="Frutiger Light" w:eastAsia="Times New Roman" w:hAnsi="Frutiger Light" w:cs="Times New Roman"/>
      <w:sz w:val="20"/>
      <w:szCs w:val="20"/>
      <w:lang w:eastAsia="fr-FR"/>
    </w:rPr>
  </w:style>
  <w:style w:type="paragraph" w:customStyle="1" w:styleId="En-ttetableau">
    <w:name w:val="En-tête tableau"/>
    <w:basedOn w:val="Normal"/>
    <w:rsid w:val="008C2A8E"/>
    <w:pPr>
      <w:widowControl w:val="0"/>
      <w:suppressAutoHyphens/>
      <w:spacing w:before="60" w:after="60" w:line="240" w:lineRule="auto"/>
    </w:pPr>
    <w:rPr>
      <w:rFonts w:ascii="Arial Narrow" w:eastAsia="Times New Roman" w:hAnsi="Arial Narrow" w:cs="Arial"/>
      <w:b/>
      <w:sz w:val="20"/>
      <w:szCs w:val="20"/>
    </w:rPr>
  </w:style>
  <w:style w:type="paragraph" w:customStyle="1" w:styleId="Textetableau">
    <w:name w:val="Texte tableau"/>
    <w:basedOn w:val="Normal"/>
    <w:link w:val="TextetableauCar"/>
    <w:rsid w:val="008C2A8E"/>
    <w:pPr>
      <w:spacing w:before="60" w:after="60" w:line="240" w:lineRule="auto"/>
      <w:ind w:left="57"/>
    </w:pPr>
    <w:rPr>
      <w:rFonts w:ascii="Frutiger Light" w:eastAsia="Times New Roman" w:hAnsi="Frutiger Light" w:cs="Times New Roman"/>
      <w:sz w:val="18"/>
      <w:szCs w:val="20"/>
    </w:rPr>
  </w:style>
  <w:style w:type="table" w:customStyle="1" w:styleId="TboMRS">
    <w:name w:val="TboMRS"/>
    <w:basedOn w:val="TableauNormal"/>
    <w:rsid w:val="008C2A8E"/>
    <w:pPr>
      <w:spacing w:after="0" w:line="240" w:lineRule="auto"/>
    </w:pPr>
    <w:rPr>
      <w:rFonts w:ascii="Frutiger Light" w:eastAsia="Times New Roman" w:hAnsi="Frutiger Light" w:cs="Times New Roman"/>
      <w:sz w:val="18"/>
      <w:szCs w:val="20"/>
    </w:rPr>
    <w:tblPr>
      <w:tblInd w:w="113" w:type="dxa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cPr>
      <w:vAlign w:val="center"/>
    </w:tcPr>
  </w:style>
  <w:style w:type="character" w:customStyle="1" w:styleId="TextetableauCar">
    <w:name w:val="Texte tableau Car"/>
    <w:basedOn w:val="Policepardfaut"/>
    <w:link w:val="Textetableau"/>
    <w:rsid w:val="008C2A8E"/>
    <w:rPr>
      <w:rFonts w:ascii="Frutiger Light" w:eastAsia="Times New Roman" w:hAnsi="Frutiger Light" w:cs="Times New Roman"/>
      <w:sz w:val="18"/>
      <w:szCs w:val="20"/>
      <w:lang w:eastAsia="fr-FR"/>
    </w:rPr>
  </w:style>
  <w:style w:type="paragraph" w:styleId="Listepuces">
    <w:name w:val="List Bullet"/>
    <w:aliases w:val="LAP1"/>
    <w:basedOn w:val="Normal"/>
    <w:rsid w:val="008C2A8E"/>
    <w:pPr>
      <w:numPr>
        <w:numId w:val="5"/>
      </w:numPr>
      <w:spacing w:before="40" w:after="0" w:line="240" w:lineRule="auto"/>
    </w:pPr>
    <w:rPr>
      <w:rFonts w:ascii="Frutiger Light" w:eastAsia="Times New Roman" w:hAnsi="Frutiger Light"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5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5796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9C6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C65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9C65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9C65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9C65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C65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C65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C65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2F0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2F0D2F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B2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3CD"/>
  </w:style>
  <w:style w:type="paragraph" w:styleId="Pieddepage">
    <w:name w:val="footer"/>
    <w:basedOn w:val="Normal"/>
    <w:link w:val="PieddepageCar"/>
    <w:uiPriority w:val="99"/>
    <w:unhideWhenUsed/>
    <w:rsid w:val="00EB2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3CD"/>
  </w:style>
  <w:style w:type="character" w:styleId="Lienhypertexte">
    <w:name w:val="Hyperlink"/>
    <w:basedOn w:val="Policepardfaut"/>
    <w:uiPriority w:val="99"/>
    <w:unhideWhenUsed/>
    <w:rsid w:val="00EB23CD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1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1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319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19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F73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73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73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73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736D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192D5B"/>
    <w:rPr>
      <w:color w:val="800080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463B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42F50"/>
    <w:pPr>
      <w:tabs>
        <w:tab w:val="left" w:pos="440"/>
        <w:tab w:val="right" w:leader="dot" w:pos="10456"/>
      </w:tabs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5B49"/>
    <w:pPr>
      <w:keepNext/>
      <w:keepLines/>
      <w:numPr>
        <w:numId w:val="9"/>
      </w:numPr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65B7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65B7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65B7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65B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65B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65B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65B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65B7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B4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25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8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fragment">
    <w:name w:val="Texte fragment"/>
    <w:basedOn w:val="Normal"/>
    <w:link w:val="TextefragmentCar"/>
    <w:rsid w:val="008C2A8E"/>
    <w:pPr>
      <w:spacing w:before="120" w:after="0" w:line="240" w:lineRule="auto"/>
      <w:ind w:left="57" w:right="-57"/>
    </w:pPr>
    <w:rPr>
      <w:rFonts w:ascii="Frutiger Light" w:eastAsia="Times New Roman" w:hAnsi="Frutiger Light" w:cs="Times New Roman"/>
      <w:sz w:val="20"/>
      <w:szCs w:val="20"/>
    </w:rPr>
  </w:style>
  <w:style w:type="character" w:customStyle="1" w:styleId="TextefragmentCar">
    <w:name w:val="Texte fragment Car"/>
    <w:basedOn w:val="Policepardfaut"/>
    <w:link w:val="Textefragment"/>
    <w:rsid w:val="008C2A8E"/>
    <w:rPr>
      <w:rFonts w:ascii="Frutiger Light" w:eastAsia="Times New Roman" w:hAnsi="Frutiger Light" w:cs="Times New Roman"/>
      <w:sz w:val="20"/>
      <w:szCs w:val="20"/>
      <w:lang w:eastAsia="fr-FR"/>
    </w:rPr>
  </w:style>
  <w:style w:type="paragraph" w:customStyle="1" w:styleId="En-ttetableau">
    <w:name w:val="En-tête tableau"/>
    <w:basedOn w:val="Normal"/>
    <w:rsid w:val="008C2A8E"/>
    <w:pPr>
      <w:widowControl w:val="0"/>
      <w:suppressAutoHyphens/>
      <w:spacing w:before="60" w:after="60" w:line="240" w:lineRule="auto"/>
    </w:pPr>
    <w:rPr>
      <w:rFonts w:ascii="Arial Narrow" w:eastAsia="Times New Roman" w:hAnsi="Arial Narrow" w:cs="Arial"/>
      <w:b/>
      <w:sz w:val="20"/>
      <w:szCs w:val="20"/>
    </w:rPr>
  </w:style>
  <w:style w:type="paragraph" w:customStyle="1" w:styleId="Textetableau">
    <w:name w:val="Texte tableau"/>
    <w:basedOn w:val="Normal"/>
    <w:link w:val="TextetableauCar"/>
    <w:rsid w:val="008C2A8E"/>
    <w:pPr>
      <w:spacing w:before="60" w:after="60" w:line="240" w:lineRule="auto"/>
      <w:ind w:left="57"/>
    </w:pPr>
    <w:rPr>
      <w:rFonts w:ascii="Frutiger Light" w:eastAsia="Times New Roman" w:hAnsi="Frutiger Light" w:cs="Times New Roman"/>
      <w:sz w:val="18"/>
      <w:szCs w:val="20"/>
    </w:rPr>
  </w:style>
  <w:style w:type="table" w:customStyle="1" w:styleId="TboMRS">
    <w:name w:val="TboMRS"/>
    <w:basedOn w:val="TableauNormal"/>
    <w:rsid w:val="008C2A8E"/>
    <w:pPr>
      <w:spacing w:after="0" w:line="240" w:lineRule="auto"/>
    </w:pPr>
    <w:rPr>
      <w:rFonts w:ascii="Frutiger Light" w:eastAsia="Times New Roman" w:hAnsi="Frutiger Light" w:cs="Times New Roman"/>
      <w:sz w:val="18"/>
      <w:szCs w:val="20"/>
    </w:rPr>
    <w:tblPr>
      <w:tblInd w:w="113" w:type="dxa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cPr>
      <w:vAlign w:val="center"/>
    </w:tcPr>
  </w:style>
  <w:style w:type="character" w:customStyle="1" w:styleId="TextetableauCar">
    <w:name w:val="Texte tableau Car"/>
    <w:basedOn w:val="Policepardfaut"/>
    <w:link w:val="Textetableau"/>
    <w:rsid w:val="008C2A8E"/>
    <w:rPr>
      <w:rFonts w:ascii="Frutiger Light" w:eastAsia="Times New Roman" w:hAnsi="Frutiger Light" w:cs="Times New Roman"/>
      <w:sz w:val="18"/>
      <w:szCs w:val="20"/>
      <w:lang w:eastAsia="fr-FR"/>
    </w:rPr>
  </w:style>
  <w:style w:type="paragraph" w:styleId="Listepuces">
    <w:name w:val="List Bullet"/>
    <w:aliases w:val="LAP1"/>
    <w:basedOn w:val="Normal"/>
    <w:rsid w:val="008C2A8E"/>
    <w:pPr>
      <w:numPr>
        <w:numId w:val="5"/>
      </w:numPr>
      <w:spacing w:before="40" w:after="0" w:line="240" w:lineRule="auto"/>
    </w:pPr>
    <w:rPr>
      <w:rFonts w:ascii="Frutiger Light" w:eastAsia="Times New Roman" w:hAnsi="Frutiger Light"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5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5796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9C6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C65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9C65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9C65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9C65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C65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C65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C65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2F0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2F0D2F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B2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3CD"/>
  </w:style>
  <w:style w:type="paragraph" w:styleId="Pieddepage">
    <w:name w:val="footer"/>
    <w:basedOn w:val="Normal"/>
    <w:link w:val="PieddepageCar"/>
    <w:uiPriority w:val="99"/>
    <w:unhideWhenUsed/>
    <w:rsid w:val="00EB2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3CD"/>
  </w:style>
  <w:style w:type="character" w:styleId="Lienhypertexte">
    <w:name w:val="Hyperlink"/>
    <w:basedOn w:val="Policepardfaut"/>
    <w:uiPriority w:val="99"/>
    <w:unhideWhenUsed/>
    <w:rsid w:val="00EB23CD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1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1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319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19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F73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73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73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73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736D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192D5B"/>
    <w:rPr>
      <w:color w:val="800080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463B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42F50"/>
    <w:pPr>
      <w:tabs>
        <w:tab w:val="left" w:pos="440"/>
        <w:tab w:val="right" w:leader="dot" w:pos="10456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fe-eclairage.fr/docs/2015/12/15/12-15-15-8-38-Point_vue_AFE_LED_de_substitution_eclairage_public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ype_x0020_de_x0020_prjet xmlns="080577d1-db2a-408a-932f-36cf28ea198b">Eclairage Public</Type_x0020_de_x0020_prjet>
    <Projet xmlns="080577d1-db2a-408a-932f-36cf28ea198b">EP Offre 2017</Projet>
    <Type_x0020_de_x0020_document xmlns="080577d1-db2a-408a-932f-36cf28ea198b">Document technique</Type_x0020_de_x0020_document>
    <Territoire xmlns="080577d1-db2a-408a-932f-36cf28ea198b">Tous</Territoi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9C2A4CB70DF49A6253B4BBAFD4D10" ma:contentTypeVersion="4" ma:contentTypeDescription="Crée un document." ma:contentTypeScope="" ma:versionID="dce7dc06dfd738656168cb9be3a6f6fc">
  <xsd:schema xmlns:xsd="http://www.w3.org/2001/XMLSchema" xmlns:xs="http://www.w3.org/2001/XMLSchema" xmlns:p="http://schemas.microsoft.com/office/2006/metadata/properties" xmlns:ns2="080577d1-db2a-408a-932f-36cf28ea198b" targetNamespace="http://schemas.microsoft.com/office/2006/metadata/properties" ma:root="true" ma:fieldsID="1d128a8c4e8a7176d9e37c618e70cc94" ns2:_="">
    <xsd:import namespace="080577d1-db2a-408a-932f-36cf28ea198b"/>
    <xsd:element name="properties">
      <xsd:complexType>
        <xsd:sequence>
          <xsd:element name="documentManagement">
            <xsd:complexType>
              <xsd:all>
                <xsd:element ref="ns2:Projet" minOccurs="0"/>
                <xsd:element ref="ns2:Type_x0020_de_x0020_prjet" minOccurs="0"/>
                <xsd:element ref="ns2:Type_x0020_de_x0020_document" minOccurs="0"/>
                <xsd:element ref="ns2:Territo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577d1-db2a-408a-932f-36cf28ea198b" elementFormDefault="qualified">
    <xsd:import namespace="http://schemas.microsoft.com/office/2006/documentManagement/types"/>
    <xsd:import namespace="http://schemas.microsoft.com/office/infopath/2007/PartnerControls"/>
    <xsd:element name="Projet" ma:index="8" nillable="true" ma:displayName="Projet" ma:format="Dropdown" ma:indexed="true" ma:internalName="Projet">
      <xsd:simpleType>
        <xsd:union memberTypes="dms:Text">
          <xsd:simpleType>
            <xsd:restriction base="dms:Choice">
              <xsd:enumeration value="Réseau St. Pierre et Miquelon"/>
              <xsd:enumeration value="Réseau Lucciana"/>
              <xsd:enumeration value="Réseau Jarry"/>
              <xsd:enumeration value="Réseau Fort de France"/>
              <xsd:enumeration value="Réseau Le Port"/>
              <xsd:enumeration value="SWAC Schoelcher"/>
              <xsd:enumeration value="SWAC Le Port"/>
              <xsd:enumeration value="SWAC St. Pierre"/>
              <xsd:enumeration value="EP Bouillante"/>
              <xsd:enumeration value="EP Rivière Salée"/>
              <xsd:enumeration value="EP Cayenne"/>
              <xsd:enumeration value="EP Lucciana"/>
              <xsd:enumeration value="EP Offre 2017"/>
            </xsd:restriction>
          </xsd:simpleType>
        </xsd:union>
      </xsd:simpleType>
    </xsd:element>
    <xsd:element name="Type_x0020_de_x0020_prjet" ma:index="9" nillable="true" ma:displayName="Type de projet" ma:format="Dropdown" ma:internalName="Type_x0020_de_x0020_prjet">
      <xsd:simpleType>
        <xsd:union memberTypes="dms:Text">
          <xsd:simpleType>
            <xsd:restriction base="dms:Choice">
              <xsd:enumeration value="SWAC"/>
              <xsd:enumeration value="ORC"/>
              <xsd:enumeration value="Eclairage Public"/>
              <xsd:enumeration value="Réseau de froid"/>
              <xsd:enumeration value="Réseau de chaleur"/>
              <xsd:enumeration value="TAC"/>
              <xsd:enumeration value="Actions MDE"/>
              <xsd:enumeration value="Géothermie"/>
            </xsd:restriction>
          </xsd:simpleType>
        </xsd:union>
      </xsd:simpleType>
    </xsd:element>
    <xsd:element name="Type_x0020_de_x0020_document" ma:index="10" nillable="true" ma:displayName="Type de document" ma:format="Dropdown" ma:internalName="Type_x0020_de_x0020_document">
      <xsd:simpleType>
        <xsd:restriction base="dms:Choice">
          <xsd:enumeration value="Document contractuel"/>
          <xsd:enumeration value="Document technique"/>
          <xsd:enumeration value="Document de référence"/>
          <xsd:enumeration value="Etude"/>
          <xsd:enumeration value="Compte-rendu"/>
          <xsd:enumeration value="Document Financier - BP"/>
          <xsd:enumeration value="Commande - Facture"/>
          <xsd:enumeration value="Présentation"/>
          <xsd:enumeration value="Audit énergétique"/>
          <xsd:enumeration value="Formation"/>
          <xsd:enumeration value="Autre"/>
        </xsd:restriction>
      </xsd:simpleType>
    </xsd:element>
    <xsd:element name="Territoire" ma:index="11" nillable="true" ma:displayName="Territoire" ma:format="Dropdown" ma:indexed="true" ma:internalName="Territoire">
      <xsd:simpleType>
        <xsd:restriction base="dms:Choice">
          <xsd:enumeration value="Corse"/>
          <xsd:enumeration value="Guadeloupe"/>
          <xsd:enumeration value="Guyane"/>
          <xsd:enumeration value="La Réunion"/>
          <xsd:enumeration value="Martinique"/>
          <xsd:enumeration value="Saint-Pierre et Miquelon"/>
          <xsd:enumeration value="T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8AF7-7F80-4536-AB6D-D47730A5B5A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80577d1-db2a-408a-932f-36cf28ea198b"/>
  </ds:schemaRefs>
</ds:datastoreItem>
</file>

<file path=customXml/itemProps2.xml><?xml version="1.0" encoding="utf-8"?>
<ds:datastoreItem xmlns:ds="http://schemas.openxmlformats.org/officeDocument/2006/customXml" ds:itemID="{15798979-0571-484F-A937-A7508E3C8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577d1-db2a-408a-932f-36cf28ea1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8EB9C-F450-4982-AB4C-831A3D5F4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89892-0564-440E-807C-5276892D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j65656</dc:creator>
  <cp:lastModifiedBy>Priscilla SINGH</cp:lastModifiedBy>
  <cp:revision>3</cp:revision>
  <cp:lastPrinted>2018-01-22T09:44:00Z</cp:lastPrinted>
  <dcterms:created xsi:type="dcterms:W3CDTF">2018-04-26T14:36:00Z</dcterms:created>
  <dcterms:modified xsi:type="dcterms:W3CDTF">2018-06-19T13:50:00Z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0x010100C859C2A4CB70DF49A6253B4BBAFD4D10</vt:lpwstr>
  </property>
</Properties>
</file>